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spacing w:line="400" w:lineRule="exact"/>
        <w:ind w:firstLineChars="98" w:firstLine="235"/>
        <w:rPr>
          <w:rFonts w:ascii="宋体" w:eastAsia="宋体" w:cs="宋体" w:hint="eastAsia"/>
          <w:sz w:val="24"/>
          <w:szCs w:val="24"/>
          <w:highlight w:val="auto"/>
        </w:rPr>
      </w:pPr>
      <w:bookmarkStart w:id="0" w:name="_Toc217446094"/>
      <w:r>
        <w:rPr>
          <w:rFonts w:ascii="宋体" w:eastAsia="宋体" w:cs="宋体" w:hint="eastAsia"/>
          <w:sz w:val="24"/>
          <w:szCs w:val="24"/>
          <w:highlight w:val="auto"/>
        </w:rPr>
        <w:t>前提：本章中标注“★”的条款为本项目的实质性条款，投标人不满足的，将按照无效投标处理。</w:t>
      </w:r>
    </w:p>
    <w:p>
      <w:pPr>
        <w:pStyle w:val="2"/>
        <w:spacing w:line="400" w:lineRule="exact"/>
        <w:ind w:firstLineChars="98" w:firstLine="235"/>
        <w:rPr>
          <w:rFonts w:ascii="宋体" w:eastAsia="宋体" w:cs="宋体" w:hint="eastAsia"/>
          <w:sz w:val="24"/>
          <w:szCs w:val="24"/>
          <w:highlight w:val="auto"/>
        </w:rPr>
      </w:pPr>
      <w:r>
        <w:rPr>
          <w:rFonts w:ascii="宋体" w:eastAsia="宋体" w:cs="宋体" w:hint="eastAsia"/>
          <w:sz w:val="24"/>
          <w:szCs w:val="24"/>
          <w:highlight w:val="auto"/>
        </w:rPr>
        <w:t>（一）项目概述</w:t>
      </w:r>
      <w:bookmarkEnd w:id="0"/>
    </w:p>
    <w:p>
      <w:pPr>
        <w:pStyle w:val="15"/>
        <w:spacing w:line="400" w:lineRule="exact"/>
        <w:rPr>
          <w:rFonts w:ascii="宋体" w:cs="宋体"/>
          <w:bCs/>
          <w:sz w:val="24"/>
          <w:highlight w:val="auto"/>
        </w:rPr>
      </w:pPr>
      <w:bookmarkStart w:id="1" w:name="_Toc217446095"/>
      <w:r>
        <w:rPr>
          <w:rFonts w:ascii="宋体" w:cs="宋体" w:hint="eastAsia"/>
          <w:bCs/>
          <w:sz w:val="24"/>
          <w:highlight w:val="auto"/>
        </w:rPr>
        <w:t>1.项目概况：</w:t>
      </w:r>
      <w:r>
        <w:rPr>
          <w:rFonts w:ascii="宋体" w:cs="宋体" w:hint="eastAsia"/>
          <w:spacing w:val="-4"/>
          <w:sz w:val="24"/>
          <w:highlight w:val="auto"/>
        </w:rPr>
        <w:t>本项目3个包，采购四川国际旅行卫生保健中心(成都海关口岸门诊部)2025年实验室仪器设备更新项目。本项目不允许采购进口产品，若投标产品为进口产品，做无效投标处理。</w:t>
      </w:r>
    </w:p>
    <w:p>
      <w:pPr>
        <w:pStyle w:val="15"/>
        <w:spacing w:line="400" w:lineRule="exact"/>
        <w:rPr>
          <w:rFonts w:ascii="宋体" w:cs="宋体" w:hint="eastAsia"/>
          <w:bCs/>
          <w:sz w:val="24"/>
          <w:highlight w:val="auto"/>
        </w:rPr>
      </w:pPr>
      <w:r>
        <w:rPr>
          <w:rFonts w:ascii="宋体" w:cs="宋体" w:hint="eastAsia"/>
          <w:bCs/>
          <w:sz w:val="24"/>
          <w:highlight w:val="auto"/>
        </w:rPr>
        <w:t>2.项目清单：</w:t>
      </w:r>
    </w:p>
    <w:tbl>
      <w:tblPr>
        <w:jc w:val="left"/>
        <w:tblInd w:w="93" w:type="dxa"/>
        <w:tblW w:w="8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2"/>
        <w:gridCol w:w="1487"/>
        <w:gridCol w:w="863"/>
        <w:gridCol w:w="862"/>
        <w:gridCol w:w="713"/>
        <w:gridCol w:w="725"/>
        <w:gridCol w:w="600"/>
        <w:gridCol w:w="662"/>
        <w:gridCol w:w="688"/>
        <w:gridCol w:w="750"/>
        <w:gridCol w:w="750"/>
      </w:tblGrid>
      <w:tr>
        <w:trPr>
          <w:trHeight w:val="870"/>
        </w:trPr>
        <w:tc>
          <w:tcPr>
            <w:tcW w:w="652" w:type="dxa"/>
            <w:noWrap/>
            <w:vAlign w:val="center"/>
          </w:tcPr>
          <w:p>
            <w:pPr>
              <w:widowControl/>
              <w:jc w:val="center"/>
              <w:textAlignment w:val="center"/>
              <w:rPr>
                <w:rFonts w:ascii="宋体" w:cs="宋体" w:hint="eastAsia"/>
                <w:b/>
                <w:bCs/>
                <w:szCs w:val="21"/>
                <w:highlight w:val="auto"/>
              </w:rPr>
            </w:pPr>
            <w:r>
              <w:rPr>
                <w:rFonts w:ascii="宋体" w:cs="宋体" w:hint="eastAsia"/>
                <w:b/>
                <w:bCs/>
                <w:kern w:val="0"/>
                <w:szCs w:val="21"/>
                <w:highlight w:val="auto"/>
              </w:rPr>
              <w:t>包号</w:t>
            </w:r>
          </w:p>
        </w:tc>
        <w:tc>
          <w:tcPr>
            <w:tcW w:w="1487" w:type="dxa"/>
            <w:noWrap/>
            <w:vAlign w:val="center"/>
          </w:tcPr>
          <w:p>
            <w:pPr>
              <w:widowControl/>
              <w:jc w:val="center"/>
              <w:textAlignment w:val="center"/>
              <w:rPr>
                <w:rFonts w:ascii="宋体" w:cs="宋体" w:hint="eastAsia"/>
                <w:b/>
                <w:bCs/>
                <w:szCs w:val="21"/>
                <w:highlight w:val="auto"/>
              </w:rPr>
            </w:pPr>
            <w:r>
              <w:rPr>
                <w:rFonts w:ascii="宋体" w:cs="宋体" w:hint="eastAsia"/>
                <w:b/>
                <w:bCs/>
                <w:kern w:val="0"/>
                <w:szCs w:val="21"/>
                <w:highlight w:val="auto"/>
              </w:rPr>
              <w:t>标的名称</w:t>
            </w:r>
          </w:p>
        </w:tc>
        <w:tc>
          <w:tcPr>
            <w:tcW w:w="863" w:type="dxa"/>
            <w:noWrap/>
            <w:vAlign w:val="center"/>
          </w:tcPr>
          <w:p>
            <w:pPr>
              <w:widowControl/>
              <w:jc w:val="center"/>
              <w:textAlignment w:val="center"/>
              <w:rPr>
                <w:rFonts w:ascii="宋体" w:cs="宋体" w:hint="eastAsia"/>
                <w:b/>
                <w:bCs/>
                <w:szCs w:val="21"/>
                <w:highlight w:val="auto"/>
              </w:rPr>
            </w:pPr>
            <w:r>
              <w:rPr>
                <w:rFonts w:ascii="宋体" w:cs="宋体" w:hint="eastAsia"/>
                <w:b/>
                <w:bCs/>
                <w:kern w:val="0"/>
                <w:szCs w:val="21"/>
                <w:highlight w:val="auto"/>
              </w:rPr>
              <w:t>所属行业</w:t>
            </w:r>
          </w:p>
        </w:tc>
        <w:tc>
          <w:tcPr>
            <w:tcW w:w="862" w:type="dxa"/>
            <w:noWrap/>
            <w:vAlign w:val="center"/>
          </w:tcPr>
          <w:p>
            <w:pPr>
              <w:widowControl/>
              <w:jc w:val="center"/>
              <w:textAlignment w:val="center"/>
              <w:rPr>
                <w:rFonts w:ascii="宋体" w:cs="宋体" w:hint="eastAsia"/>
                <w:b/>
                <w:bCs/>
                <w:szCs w:val="21"/>
                <w:highlight w:val="auto"/>
              </w:rPr>
            </w:pPr>
            <w:r>
              <w:rPr>
                <w:rFonts w:ascii="宋体" w:cs="宋体" w:hint="eastAsia"/>
                <w:b/>
                <w:bCs/>
                <w:kern w:val="0"/>
                <w:szCs w:val="21"/>
                <w:highlight w:val="auto"/>
              </w:rPr>
              <w:t>单价限价（万元）</w:t>
            </w:r>
          </w:p>
        </w:tc>
        <w:tc>
          <w:tcPr>
            <w:tcW w:w="713" w:type="dxa"/>
            <w:noWrap/>
            <w:vAlign w:val="center"/>
          </w:tcPr>
          <w:p>
            <w:pPr>
              <w:widowControl/>
              <w:jc w:val="center"/>
              <w:textAlignment w:val="center"/>
              <w:rPr>
                <w:rFonts w:ascii="宋体" w:cs="宋体" w:hint="eastAsia"/>
                <w:b/>
                <w:bCs/>
                <w:szCs w:val="21"/>
                <w:highlight w:val="auto"/>
              </w:rPr>
            </w:pPr>
            <w:r>
              <w:rPr>
                <w:rFonts w:ascii="宋体" w:cs="宋体" w:hint="eastAsia"/>
                <w:sz w:val="24"/>
                <w:highlight w:val="auto"/>
              </w:rPr>
              <w:t>★</w:t>
            </w:r>
            <w:r>
              <w:rPr>
                <w:rFonts w:ascii="宋体" w:cs="宋体" w:hint="eastAsia"/>
                <w:b/>
                <w:bCs/>
                <w:kern w:val="0"/>
                <w:szCs w:val="21"/>
                <w:highlight w:val="auto"/>
              </w:rPr>
              <w:t>数量</w:t>
            </w:r>
          </w:p>
        </w:tc>
        <w:tc>
          <w:tcPr>
            <w:tcW w:w="725" w:type="dxa"/>
            <w:noWrap/>
            <w:vAlign w:val="center"/>
          </w:tcPr>
          <w:p>
            <w:pPr>
              <w:widowControl/>
              <w:jc w:val="center"/>
              <w:textAlignment w:val="center"/>
              <w:rPr>
                <w:rFonts w:ascii="宋体" w:cs="宋体" w:hint="eastAsia"/>
                <w:b/>
                <w:bCs/>
                <w:szCs w:val="21"/>
                <w:highlight w:val="auto"/>
              </w:rPr>
            </w:pPr>
            <w:bookmarkStart w:id="2" w:name="_GoBack"/>
            <w:bookmarkEnd w:id="2"/>
            <w:r>
              <w:rPr>
                <w:rFonts w:ascii="宋体" w:cs="宋体" w:hint="eastAsia"/>
                <w:sz w:val="24"/>
                <w:highlight w:val="auto"/>
              </w:rPr>
              <w:t>★</w:t>
            </w:r>
            <w:r>
              <w:rPr>
                <w:rFonts w:ascii="宋体" w:cs="宋体" w:hint="eastAsia"/>
                <w:b/>
                <w:bCs/>
                <w:kern w:val="0"/>
                <w:szCs w:val="21"/>
                <w:highlight w:val="auto"/>
              </w:rPr>
              <w:t>单位</w:t>
            </w:r>
          </w:p>
        </w:tc>
        <w:tc>
          <w:tcPr>
            <w:tcW w:w="600" w:type="dxa"/>
            <w:noWrap/>
            <w:vAlign w:val="center"/>
          </w:tcPr>
          <w:p>
            <w:pPr>
              <w:pStyle w:val="15"/>
              <w:spacing w:line="400" w:lineRule="exact"/>
              <w:ind w:firstLineChars="0" w:firstLine="0"/>
              <w:jc w:val="center"/>
              <w:rPr>
                <w:rFonts w:ascii="宋体" w:cs="宋体" w:hint="eastAsia"/>
                <w:sz w:val="24"/>
                <w:highlight w:val="auto"/>
              </w:rPr>
            </w:pPr>
            <w:r>
              <w:rPr>
                <w:rFonts w:ascii="宋体" w:cs="宋体" w:hint="eastAsia"/>
                <w:bCs/>
                <w:sz w:val="20"/>
                <w:szCs w:val="20"/>
                <w:highlight w:val="auto"/>
              </w:rPr>
              <w:t>是否属于核心产品</w:t>
            </w:r>
          </w:p>
        </w:tc>
        <w:tc>
          <w:tcPr>
            <w:tcW w:w="662" w:type="dxa"/>
            <w:noWrap/>
            <w:vAlign w:val="center"/>
          </w:tcPr>
          <w:p>
            <w:pPr>
              <w:pStyle w:val="15"/>
              <w:spacing w:line="400" w:lineRule="exact"/>
              <w:ind w:firstLineChars="0" w:firstLine="0"/>
              <w:rPr>
                <w:rFonts w:ascii="宋体" w:cs="宋体" w:hint="eastAsia"/>
                <w:sz w:val="24"/>
                <w:highlight w:val="auto"/>
              </w:rPr>
            </w:pPr>
            <w:r>
              <w:rPr>
                <w:rFonts w:ascii="宋体" w:cs="宋体" w:hint="eastAsia"/>
                <w:bCs/>
                <w:sz w:val="20"/>
                <w:szCs w:val="20"/>
                <w:highlight w:val="auto"/>
              </w:rPr>
              <w:t>是否允许进口产品</w:t>
            </w:r>
          </w:p>
        </w:tc>
        <w:tc>
          <w:tcPr>
            <w:tcW w:w="688" w:type="dxa"/>
            <w:noWrap/>
            <w:vAlign w:val="center"/>
          </w:tcPr>
          <w:p>
            <w:pPr>
              <w:pStyle w:val="15"/>
              <w:spacing w:line="400" w:lineRule="exact"/>
              <w:ind w:firstLineChars="0" w:firstLine="0"/>
              <w:rPr>
                <w:rFonts w:ascii="宋体" w:cs="宋体" w:hint="eastAsia"/>
                <w:sz w:val="24"/>
                <w:highlight w:val="auto"/>
              </w:rPr>
            </w:pPr>
            <w:r>
              <w:rPr>
                <w:rFonts w:ascii="宋体" w:cs="宋体" w:hint="eastAsia"/>
                <w:bCs/>
                <w:sz w:val="20"/>
                <w:szCs w:val="20"/>
                <w:highlight w:val="auto"/>
              </w:rPr>
              <w:t>是否属于优先采购节能产品</w:t>
            </w:r>
          </w:p>
        </w:tc>
        <w:tc>
          <w:tcPr>
            <w:tcW w:w="750" w:type="dxa"/>
            <w:noWrap/>
            <w:vAlign w:val="center"/>
          </w:tcPr>
          <w:p>
            <w:pPr>
              <w:pStyle w:val="15"/>
              <w:spacing w:line="400" w:lineRule="exact"/>
              <w:ind w:firstLineChars="0" w:firstLine="0"/>
              <w:rPr>
                <w:rFonts w:ascii="宋体" w:cs="宋体" w:hint="eastAsia"/>
                <w:sz w:val="24"/>
                <w:highlight w:val="auto"/>
              </w:rPr>
            </w:pPr>
            <w:r>
              <w:rPr>
                <w:rFonts w:ascii="宋体" w:cs="宋体" w:hint="eastAsia"/>
                <w:bCs/>
                <w:sz w:val="20"/>
                <w:szCs w:val="20"/>
                <w:highlight w:val="auto"/>
              </w:rPr>
              <w:t>是否属于强制采购节能产品</w:t>
            </w:r>
          </w:p>
        </w:tc>
        <w:tc>
          <w:tcPr>
            <w:tcW w:w="750" w:type="dxa"/>
            <w:noWrap/>
            <w:vAlign w:val="center"/>
          </w:tcPr>
          <w:p>
            <w:pPr>
              <w:pStyle w:val="15"/>
              <w:spacing w:line="400" w:lineRule="exact"/>
              <w:ind w:firstLineChars="0" w:firstLine="0"/>
              <w:rPr>
                <w:rFonts w:ascii="宋体" w:cs="宋体" w:hint="eastAsia"/>
                <w:b/>
                <w:bCs/>
                <w:szCs w:val="21"/>
                <w:highlight w:val="auto"/>
              </w:rPr>
            </w:pPr>
            <w:r>
              <w:rPr>
                <w:rFonts w:ascii="宋体" w:cs="宋体" w:hint="eastAsia"/>
                <w:bCs/>
                <w:sz w:val="20"/>
                <w:szCs w:val="20"/>
                <w:highlight w:val="auto"/>
              </w:rPr>
              <w:t>是否属于优先采购环境标志产品</w:t>
            </w:r>
          </w:p>
        </w:tc>
      </w:tr>
      <w:tr>
        <w:trPr>
          <w:trHeight w:val="525"/>
        </w:trPr>
        <w:tc>
          <w:tcPr>
            <w:tcW w:w="652" w:type="dxa"/>
            <w:vMerge w:val="restart"/>
            <w:noWrap/>
            <w:vAlign w:val="center"/>
          </w:tcPr>
          <w:p>
            <w:pPr>
              <w:widowControl/>
              <w:jc w:val="center"/>
              <w:textAlignment w:val="center"/>
              <w:rPr>
                <w:rFonts w:ascii="宋体" w:cs="宋体" w:hint="eastAsia"/>
                <w:szCs w:val="21"/>
                <w:highlight w:val="auto"/>
              </w:rPr>
            </w:pPr>
            <w:r>
              <w:rPr>
                <w:rFonts w:ascii="宋体" w:cs="宋体" w:hint="eastAsia"/>
                <w:kern w:val="0"/>
                <w:szCs w:val="21"/>
                <w:highlight w:val="auto"/>
              </w:rPr>
              <w:t>1</w:t>
            </w:r>
          </w:p>
        </w:tc>
        <w:tc>
          <w:tcPr>
            <w:tcW w:w="1487" w:type="dxa"/>
            <w:noWrap/>
            <w:vAlign w:val="center"/>
          </w:tcPr>
          <w:p>
            <w:pPr>
              <w:widowControl/>
              <w:jc w:val="center"/>
              <w:textAlignment w:val="center"/>
              <w:rPr>
                <w:rFonts w:ascii="宋体" w:cs="宋体"/>
                <w:szCs w:val="21"/>
                <w:highlight w:val="auto"/>
              </w:rPr>
            </w:pPr>
            <w:r>
              <w:rPr>
                <w:rFonts w:ascii="宋体" w:cs="宋体" w:hint="eastAsia"/>
                <w:kern w:val="0"/>
                <w:szCs w:val="21"/>
                <w:highlight w:val="auto"/>
              </w:rPr>
              <w:t>高压灭菌器</w:t>
            </w:r>
          </w:p>
        </w:tc>
        <w:tc>
          <w:tcPr>
            <w:tcW w:w="863" w:type="dxa"/>
            <w:vMerge w:val="restart"/>
            <w:noWrap/>
            <w:vAlign w:val="center"/>
          </w:tcPr>
          <w:p>
            <w:pPr>
              <w:widowControl/>
              <w:jc w:val="center"/>
              <w:textAlignment w:val="center"/>
              <w:rPr>
                <w:rFonts w:ascii="宋体" w:cs="宋体" w:hint="eastAsia"/>
                <w:szCs w:val="21"/>
                <w:highlight w:val="auto"/>
              </w:rPr>
            </w:pPr>
            <w:r>
              <w:rPr>
                <w:rFonts w:ascii="宋体" w:cs="宋体" w:hint="eastAsia"/>
                <w:kern w:val="0"/>
                <w:szCs w:val="21"/>
                <w:highlight w:val="auto"/>
              </w:rPr>
              <w:t>工业</w:t>
            </w:r>
          </w:p>
        </w:tc>
        <w:tc>
          <w:tcPr>
            <w:tcW w:w="862" w:type="dxa"/>
            <w:noWrap/>
            <w:vAlign w:val="center"/>
          </w:tcPr>
          <w:p>
            <w:pPr>
              <w:widowControl/>
              <w:jc w:val="center"/>
              <w:textAlignment w:val="center"/>
              <w:rPr>
                <w:rFonts w:ascii="宋体" w:cs="宋体"/>
                <w:szCs w:val="21"/>
                <w:highlight w:val="auto"/>
              </w:rPr>
            </w:pPr>
            <w:r>
              <w:rPr>
                <w:rFonts w:ascii="宋体" w:cs="宋体" w:hint="eastAsia"/>
                <w:kern w:val="0"/>
                <w:szCs w:val="21"/>
                <w:highlight w:val="auto"/>
              </w:rPr>
              <w:t>11</w:t>
            </w:r>
          </w:p>
        </w:tc>
        <w:tc>
          <w:tcPr>
            <w:tcW w:w="713"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1</w:t>
            </w:r>
          </w:p>
        </w:tc>
        <w:tc>
          <w:tcPr>
            <w:tcW w:w="725"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台</w:t>
            </w:r>
          </w:p>
        </w:tc>
        <w:tc>
          <w:tcPr>
            <w:tcW w:w="600" w:type="dxa"/>
            <w:noWrap/>
            <w:vAlign w:val="center"/>
          </w:tcPr>
          <w:p>
            <w:pPr>
              <w:widowControl/>
              <w:jc w:val="center"/>
              <w:textAlignment w:val="center"/>
              <w:rPr>
                <w:rFonts w:ascii="宋体" w:cs="宋体"/>
                <w:szCs w:val="21"/>
                <w:highlight w:val="auto"/>
              </w:rPr>
            </w:pPr>
            <w:r>
              <w:rPr>
                <w:rFonts w:ascii="宋体" w:cs="宋体" w:hint="eastAsia"/>
                <w:szCs w:val="21"/>
                <w:highlight w:val="auto"/>
              </w:rPr>
              <w:t>否</w:t>
            </w:r>
          </w:p>
        </w:tc>
        <w:tc>
          <w:tcPr>
            <w:tcW w:w="662"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688"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75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750" w:type="dxa"/>
            <w:noWrap/>
            <w:vAlign w:val="center"/>
          </w:tcPr>
          <w:p>
            <w:pPr>
              <w:widowControl/>
              <w:jc w:val="center"/>
              <w:textAlignment w:val="center"/>
              <w:rPr>
                <w:rFonts w:ascii="宋体" w:cs="宋体"/>
                <w:szCs w:val="21"/>
                <w:highlight w:val="auto"/>
              </w:rPr>
            </w:pPr>
            <w:r>
              <w:rPr>
                <w:rFonts w:ascii="宋体" w:cs="宋体" w:hint="eastAsia"/>
                <w:szCs w:val="21"/>
                <w:highlight w:val="auto"/>
              </w:rPr>
              <w:t>否</w:t>
            </w:r>
          </w:p>
        </w:tc>
      </w:tr>
      <w:tr>
        <w:trPr>
          <w:trHeight w:val="525"/>
        </w:trPr>
        <w:tc>
          <w:tcPr>
            <w:tcW w:w="652" w:type="dxa"/>
            <w:vMerge/>
            <w:noWrap/>
            <w:vAlign w:val="center"/>
          </w:tcPr>
          <w:p/>
        </w:tc>
        <w:tc>
          <w:tcPr>
            <w:tcW w:w="1487" w:type="dxa"/>
            <w:noWrap/>
            <w:vAlign w:val="center"/>
          </w:tcPr>
          <w:p>
            <w:pPr>
              <w:widowControl/>
              <w:jc w:val="center"/>
              <w:textAlignment w:val="center"/>
              <w:rPr>
                <w:rFonts w:ascii="宋体" w:cs="宋体" w:hint="eastAsia"/>
                <w:kern w:val="0"/>
                <w:szCs w:val="21"/>
                <w:highlight w:val="auto"/>
              </w:rPr>
            </w:pPr>
            <w:r>
              <w:rPr>
                <w:rFonts w:ascii="宋体" w:cs="宋体" w:hint="eastAsia"/>
                <w:szCs w:val="21"/>
                <w:highlight w:val="auto"/>
              </w:rPr>
              <w:t>实验室试剂耗材智能储存管理设备</w:t>
            </w:r>
          </w:p>
        </w:tc>
        <w:tc>
          <w:tcPr>
            <w:tcW w:w="863" w:type="dxa"/>
            <w:vMerge/>
            <w:noWrap/>
            <w:vAlign w:val="center"/>
          </w:tcPr>
          <w:p/>
        </w:tc>
        <w:tc>
          <w:tcPr>
            <w:tcW w:w="862" w:type="dxa"/>
            <w:noWrap/>
            <w:vAlign w:val="center"/>
          </w:tcPr>
          <w:p>
            <w:pPr>
              <w:widowControl/>
              <w:jc w:val="center"/>
              <w:textAlignment w:val="center"/>
              <w:rPr>
                <w:rFonts w:ascii="宋体" w:cs="宋体" w:hint="eastAsia"/>
                <w:kern w:val="0"/>
                <w:szCs w:val="21"/>
                <w:highlight w:val="auto"/>
              </w:rPr>
            </w:pPr>
            <w:r>
              <w:rPr>
                <w:rFonts w:ascii="宋体" w:cs="宋体" w:hint="eastAsia"/>
                <w:kern w:val="0"/>
                <w:szCs w:val="21"/>
                <w:highlight w:val="auto"/>
              </w:rPr>
              <w:t>48</w:t>
            </w:r>
          </w:p>
        </w:tc>
        <w:tc>
          <w:tcPr>
            <w:tcW w:w="713" w:type="dxa"/>
            <w:noWrap/>
            <w:vAlign w:val="center"/>
          </w:tcPr>
          <w:p>
            <w:pPr>
              <w:widowControl/>
              <w:jc w:val="center"/>
              <w:textAlignment w:val="center"/>
              <w:rPr>
                <w:rFonts w:ascii="宋体" w:cs="宋体"/>
                <w:szCs w:val="21"/>
                <w:highlight w:val="auto"/>
              </w:rPr>
            </w:pPr>
            <w:r>
              <w:rPr>
                <w:rFonts w:ascii="宋体" w:cs="宋体" w:hint="eastAsia"/>
                <w:szCs w:val="21"/>
                <w:highlight w:val="auto"/>
              </w:rPr>
              <w:t>1</w:t>
            </w:r>
          </w:p>
        </w:tc>
        <w:tc>
          <w:tcPr>
            <w:tcW w:w="725"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台</w:t>
            </w:r>
          </w:p>
        </w:tc>
        <w:tc>
          <w:tcPr>
            <w:tcW w:w="60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是</w:t>
            </w:r>
          </w:p>
        </w:tc>
        <w:tc>
          <w:tcPr>
            <w:tcW w:w="662"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688"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75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75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r>
      <w:tr>
        <w:trPr>
          <w:trHeight w:val="780"/>
        </w:trPr>
        <w:tc>
          <w:tcPr>
            <w:tcW w:w="652" w:type="dxa"/>
            <w:vMerge w:val="restart"/>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2</w:t>
            </w:r>
          </w:p>
        </w:tc>
        <w:tc>
          <w:tcPr>
            <w:tcW w:w="1487"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生物显微镜</w:t>
            </w:r>
            <w:r>
              <w:rPr>
                <w:rFonts w:hint="eastAsia"/>
                <w:highlight w:val="auto"/>
              </w:rPr>
              <w:t>1</w:t>
            </w:r>
          </w:p>
        </w:tc>
        <w:tc>
          <w:tcPr>
            <w:tcW w:w="863" w:type="dxa"/>
            <w:vMerge/>
            <w:noWrap/>
            <w:vAlign w:val="center"/>
          </w:tcPr>
          <w:p/>
        </w:tc>
        <w:tc>
          <w:tcPr>
            <w:tcW w:w="862" w:type="dxa"/>
            <w:noWrap/>
            <w:vAlign w:val="center"/>
          </w:tcPr>
          <w:p>
            <w:pPr>
              <w:widowControl/>
              <w:jc w:val="center"/>
              <w:textAlignment w:val="center"/>
              <w:rPr>
                <w:rFonts w:ascii="宋体" w:cs="宋体"/>
                <w:szCs w:val="21"/>
                <w:highlight w:val="auto"/>
              </w:rPr>
            </w:pPr>
            <w:r>
              <w:rPr>
                <w:rFonts w:ascii="宋体" w:cs="宋体" w:hint="eastAsia"/>
                <w:kern w:val="0"/>
                <w:szCs w:val="21"/>
                <w:highlight w:val="auto"/>
              </w:rPr>
              <w:t>15</w:t>
            </w:r>
          </w:p>
        </w:tc>
        <w:tc>
          <w:tcPr>
            <w:tcW w:w="713"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1</w:t>
            </w:r>
          </w:p>
        </w:tc>
        <w:tc>
          <w:tcPr>
            <w:tcW w:w="725"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台</w:t>
            </w:r>
          </w:p>
        </w:tc>
        <w:tc>
          <w:tcPr>
            <w:tcW w:w="60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662"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688"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75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75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r>
      <w:tr>
        <w:trPr>
          <w:trHeight w:val="780"/>
        </w:trPr>
        <w:tc>
          <w:tcPr>
            <w:tcW w:w="652" w:type="dxa"/>
            <w:vMerge/>
            <w:noWrap/>
            <w:vAlign w:val="center"/>
          </w:tcPr>
          <w:p/>
        </w:tc>
        <w:tc>
          <w:tcPr>
            <w:tcW w:w="1487" w:type="dxa"/>
            <w:noWrap/>
            <w:vAlign w:val="center"/>
          </w:tcPr>
          <w:p>
            <w:pPr>
              <w:widowControl/>
              <w:jc w:val="center"/>
              <w:textAlignment w:val="center"/>
              <w:rPr>
                <w:rFonts w:ascii="宋体" w:cs="宋体"/>
                <w:szCs w:val="21"/>
                <w:highlight w:val="auto"/>
              </w:rPr>
            </w:pPr>
            <w:r>
              <w:rPr>
                <w:rFonts w:ascii="宋体" w:cs="宋体" w:hint="eastAsia"/>
                <w:szCs w:val="21"/>
                <w:highlight w:val="auto"/>
              </w:rPr>
              <w:t>生物显微镜2</w:t>
            </w:r>
          </w:p>
        </w:tc>
        <w:tc>
          <w:tcPr>
            <w:tcW w:w="863" w:type="dxa"/>
            <w:vMerge/>
            <w:noWrap/>
            <w:vAlign w:val="center"/>
          </w:tcPr>
          <w:p/>
        </w:tc>
        <w:tc>
          <w:tcPr>
            <w:tcW w:w="862" w:type="dxa"/>
            <w:noWrap/>
            <w:vAlign w:val="center"/>
          </w:tcPr>
          <w:p>
            <w:pPr>
              <w:widowControl/>
              <w:jc w:val="center"/>
              <w:textAlignment w:val="center"/>
              <w:rPr>
                <w:rFonts w:ascii="宋体" w:cs="宋体"/>
                <w:kern w:val="0"/>
                <w:szCs w:val="21"/>
                <w:highlight w:val="auto"/>
              </w:rPr>
            </w:pPr>
            <w:r>
              <w:rPr>
                <w:rFonts w:ascii="宋体" w:cs="宋体" w:hint="eastAsia"/>
                <w:kern w:val="0"/>
                <w:szCs w:val="21"/>
                <w:highlight w:val="auto"/>
              </w:rPr>
              <w:t>15</w:t>
            </w:r>
          </w:p>
        </w:tc>
        <w:tc>
          <w:tcPr>
            <w:tcW w:w="713"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1</w:t>
            </w:r>
          </w:p>
        </w:tc>
        <w:tc>
          <w:tcPr>
            <w:tcW w:w="725"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台</w:t>
            </w:r>
          </w:p>
        </w:tc>
        <w:tc>
          <w:tcPr>
            <w:tcW w:w="60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是</w:t>
            </w:r>
          </w:p>
        </w:tc>
        <w:tc>
          <w:tcPr>
            <w:tcW w:w="662"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688"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75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75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r>
      <w:tr>
        <w:trPr>
          <w:trHeight w:val="780"/>
        </w:trPr>
        <w:tc>
          <w:tcPr>
            <w:tcW w:w="652" w:type="dxa"/>
            <w:vMerge/>
            <w:noWrap/>
            <w:vAlign w:val="center"/>
          </w:tcPr>
          <w:p/>
        </w:tc>
        <w:tc>
          <w:tcPr>
            <w:tcW w:w="1487" w:type="dxa"/>
            <w:noWrap/>
            <w:vAlign w:val="center"/>
          </w:tcPr>
          <w:p>
            <w:pPr>
              <w:widowControl/>
              <w:jc w:val="center"/>
              <w:textAlignment w:val="center"/>
              <w:rPr>
                <w:rFonts w:ascii="宋体" w:cs="宋体"/>
                <w:szCs w:val="21"/>
                <w:highlight w:val="auto"/>
              </w:rPr>
            </w:pPr>
            <w:r>
              <w:rPr>
                <w:rFonts w:ascii="宋体" w:cs="宋体" w:hint="eastAsia"/>
                <w:szCs w:val="21"/>
                <w:highlight w:val="auto"/>
              </w:rPr>
              <w:t>生物显微镜3</w:t>
            </w:r>
          </w:p>
        </w:tc>
        <w:tc>
          <w:tcPr>
            <w:tcW w:w="863" w:type="dxa"/>
            <w:vMerge/>
            <w:noWrap/>
            <w:vAlign w:val="center"/>
          </w:tcPr>
          <w:p/>
        </w:tc>
        <w:tc>
          <w:tcPr>
            <w:tcW w:w="862" w:type="dxa"/>
            <w:noWrap/>
            <w:vAlign w:val="center"/>
          </w:tcPr>
          <w:p>
            <w:pPr>
              <w:widowControl/>
              <w:jc w:val="center"/>
              <w:textAlignment w:val="center"/>
              <w:rPr>
                <w:rFonts w:ascii="宋体" w:cs="宋体"/>
                <w:kern w:val="0"/>
                <w:szCs w:val="21"/>
                <w:highlight w:val="auto"/>
              </w:rPr>
            </w:pPr>
            <w:r>
              <w:rPr>
                <w:rFonts w:ascii="宋体" w:cs="宋体" w:hint="eastAsia"/>
                <w:kern w:val="0"/>
                <w:szCs w:val="21"/>
                <w:highlight w:val="auto"/>
              </w:rPr>
              <w:t>15</w:t>
            </w:r>
          </w:p>
        </w:tc>
        <w:tc>
          <w:tcPr>
            <w:tcW w:w="713"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1</w:t>
            </w:r>
          </w:p>
        </w:tc>
        <w:tc>
          <w:tcPr>
            <w:tcW w:w="725"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台</w:t>
            </w:r>
          </w:p>
        </w:tc>
        <w:tc>
          <w:tcPr>
            <w:tcW w:w="60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662"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688"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75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75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r>
      <w:tr>
        <w:trPr>
          <w:trHeight w:val="1035"/>
        </w:trPr>
        <w:tc>
          <w:tcPr>
            <w:tcW w:w="652" w:type="dxa"/>
            <w:noWrap/>
            <w:vAlign w:val="center"/>
          </w:tcPr>
          <w:p>
            <w:pPr>
              <w:widowControl/>
              <w:jc w:val="center"/>
              <w:textAlignment w:val="center"/>
              <w:rPr>
                <w:rFonts w:ascii="宋体" w:cs="宋体" w:hint="eastAsia"/>
                <w:szCs w:val="21"/>
                <w:highlight w:val="auto"/>
              </w:rPr>
            </w:pPr>
            <w:r>
              <w:rPr>
                <w:rFonts w:ascii="宋体" w:cs="宋体" w:hint="eastAsia"/>
                <w:kern w:val="0"/>
                <w:szCs w:val="21"/>
                <w:highlight w:val="auto"/>
              </w:rPr>
              <w:t>3</w:t>
            </w:r>
          </w:p>
        </w:tc>
        <w:tc>
          <w:tcPr>
            <w:tcW w:w="1487"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全自动免疫印迹仪</w:t>
            </w:r>
          </w:p>
        </w:tc>
        <w:tc>
          <w:tcPr>
            <w:tcW w:w="863" w:type="dxa"/>
            <w:vMerge/>
            <w:noWrap/>
            <w:vAlign w:val="center"/>
          </w:tcPr>
          <w:p/>
        </w:tc>
        <w:tc>
          <w:tcPr>
            <w:tcW w:w="862" w:type="dxa"/>
            <w:noWrap/>
            <w:vAlign w:val="center"/>
          </w:tcPr>
          <w:p>
            <w:pPr>
              <w:widowControl/>
              <w:jc w:val="center"/>
              <w:textAlignment w:val="center"/>
              <w:rPr>
                <w:rFonts w:ascii="宋体" w:cs="宋体"/>
                <w:szCs w:val="21"/>
                <w:highlight w:val="auto"/>
              </w:rPr>
            </w:pPr>
            <w:r>
              <w:rPr>
                <w:rFonts w:ascii="宋体" w:cs="宋体" w:hint="eastAsia"/>
                <w:kern w:val="0"/>
                <w:szCs w:val="21"/>
                <w:highlight w:val="auto"/>
              </w:rPr>
              <w:t>25</w:t>
            </w:r>
          </w:p>
        </w:tc>
        <w:tc>
          <w:tcPr>
            <w:tcW w:w="713"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1</w:t>
            </w:r>
          </w:p>
        </w:tc>
        <w:tc>
          <w:tcPr>
            <w:tcW w:w="725"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台</w:t>
            </w:r>
          </w:p>
        </w:tc>
        <w:tc>
          <w:tcPr>
            <w:tcW w:w="60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是</w:t>
            </w:r>
          </w:p>
        </w:tc>
        <w:tc>
          <w:tcPr>
            <w:tcW w:w="662"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688"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75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c>
          <w:tcPr>
            <w:tcW w:w="750" w:type="dxa"/>
            <w:noWrap/>
            <w:vAlign w:val="center"/>
          </w:tcPr>
          <w:p>
            <w:pPr>
              <w:widowControl/>
              <w:jc w:val="center"/>
              <w:textAlignment w:val="center"/>
              <w:rPr>
                <w:rFonts w:ascii="宋体" w:cs="宋体" w:hint="eastAsia"/>
                <w:szCs w:val="21"/>
                <w:highlight w:val="auto"/>
              </w:rPr>
            </w:pPr>
            <w:r>
              <w:rPr>
                <w:rFonts w:ascii="宋体" w:cs="宋体" w:hint="eastAsia"/>
                <w:szCs w:val="21"/>
                <w:highlight w:val="auto"/>
              </w:rPr>
              <w:t>否</w:t>
            </w:r>
          </w:p>
        </w:tc>
      </w:tr>
    </w:tbl>
    <w:p>
      <w:pPr>
        <w:pStyle w:val="15"/>
        <w:spacing w:line="400" w:lineRule="exact"/>
        <w:rPr>
          <w:rFonts w:ascii="宋体" w:cs="宋体" w:hint="eastAsia"/>
          <w:bCs/>
          <w:sz w:val="24"/>
          <w:highlight w:val="auto"/>
        </w:rPr>
      </w:pPr>
    </w:p>
    <w:p>
      <w:pPr>
        <w:pStyle w:val="2"/>
        <w:spacing w:line="400" w:lineRule="exact"/>
        <w:ind w:firstLineChars="98" w:firstLine="235"/>
        <w:rPr>
          <w:rFonts w:ascii="宋体" w:eastAsia="宋体" w:cs="宋体"/>
          <w:sz w:val="24"/>
          <w:szCs w:val="24"/>
          <w:highlight w:val="auto"/>
        </w:rPr>
      </w:pPr>
      <w:r>
        <w:rPr>
          <w:rFonts w:ascii="宋体" w:eastAsia="宋体" w:cs="宋体" w:hint="eastAsia"/>
          <w:sz w:val="24"/>
          <w:szCs w:val="24"/>
          <w:highlight w:val="auto"/>
        </w:rPr>
        <w:t>★（二）商务要求</w:t>
      </w:r>
    </w:p>
    <w:p>
      <w:pPr>
        <w:pStyle w:val="15"/>
        <w:spacing w:line="400" w:lineRule="exact"/>
        <w:outlineLvl w:val="2"/>
        <w:rPr>
          <w:rFonts w:ascii="宋体" w:cs="宋体" w:hint="eastAsia"/>
          <w:b/>
          <w:bCs/>
          <w:sz w:val="24"/>
          <w:highlight w:val="auto"/>
        </w:rPr>
      </w:pPr>
      <w:r>
        <w:rPr>
          <w:rFonts w:ascii="宋体" w:cs="宋体" w:hint="eastAsia"/>
          <w:b/>
          <w:bCs/>
          <w:sz w:val="24"/>
          <w:highlight w:val="auto"/>
        </w:rPr>
        <w:t>01包高压灭菌器：</w:t>
      </w:r>
    </w:p>
    <w:p>
      <w:pPr>
        <w:spacing w:line="500" w:lineRule="exact"/>
        <w:rPr>
          <w:rFonts w:ascii="宋体" w:cs="宋体" w:hint="eastAsia"/>
          <w:bCs/>
          <w:sz w:val="24"/>
          <w:highlight w:val="auto"/>
        </w:rPr>
      </w:pPr>
      <w:r>
        <w:rPr>
          <w:rFonts w:ascii="宋体" w:cs="宋体" w:hint="eastAsia"/>
          <w:bCs/>
          <w:sz w:val="24"/>
          <w:highlight w:val="auto"/>
        </w:rPr>
        <w:t>1.交货期及地点</w:t>
      </w:r>
    </w:p>
    <w:p>
      <w:pPr>
        <w:spacing w:line="360" w:lineRule="auto"/>
        <w:rPr>
          <w:rFonts w:ascii="宋体" w:cs="宋体" w:hint="eastAsia"/>
          <w:bCs/>
          <w:snapToGrid w:val="0"/>
          <w:kern w:val="21"/>
          <w:sz w:val="24"/>
          <w:highlight w:val="auto"/>
        </w:rPr>
      </w:pPr>
      <w:r>
        <w:rPr>
          <w:rFonts w:ascii="宋体" w:cs="宋体" w:hint="eastAsia"/>
          <w:sz w:val="24"/>
          <w:highlight w:val="auto"/>
        </w:rPr>
        <w:t>1.1交货期：</w:t>
      </w:r>
    </w:p>
    <w:p>
      <w:pPr>
        <w:spacing w:line="520" w:lineRule="exact"/>
        <w:rPr>
          <w:rFonts w:ascii="宋体" w:cs="宋体" w:hint="eastAsia"/>
          <w:sz w:val="24"/>
          <w:highlight w:val="auto"/>
        </w:rPr>
      </w:pPr>
      <w:r>
        <w:rPr>
          <w:rFonts w:ascii="宋体" w:cs="宋体" w:hint="eastAsia"/>
          <w:bCs/>
          <w:snapToGrid w:val="0"/>
          <w:kern w:val="21"/>
          <w:sz w:val="24"/>
          <w:highlight w:val="auto"/>
        </w:rPr>
        <w:t>合同签订后30个日历日内将货物送至（采购人指定地点）交付（采购人指定收货人）。中标供应商应在交货前向采购人提供交货计划；运输保险和装箱的费用由中标供应商承担</w:t>
      </w:r>
      <w:r>
        <w:rPr>
          <w:rFonts w:ascii="宋体" w:cs="宋体" w:hint="eastAsia"/>
          <w:bCs/>
          <w:sz w:val="24"/>
          <w:highlight w:val="auto"/>
        </w:rPr>
        <w:t>。</w:t>
      </w:r>
    </w:p>
    <w:p>
      <w:pPr>
        <w:spacing w:line="520" w:lineRule="exact"/>
        <w:rPr>
          <w:rFonts w:ascii="宋体" w:cs="宋体" w:hint="eastAsia"/>
          <w:bCs/>
          <w:snapToGrid w:val="0"/>
          <w:kern w:val="21"/>
          <w:sz w:val="24"/>
          <w:highlight w:val="auto"/>
        </w:rPr>
      </w:pPr>
      <w:r>
        <w:rPr>
          <w:rFonts w:ascii="宋体" w:cs="宋体" w:hint="eastAsia"/>
          <w:sz w:val="24"/>
          <w:highlight w:val="auto"/>
        </w:rPr>
        <w:t>1.2交货地点：</w:t>
      </w:r>
      <w:r>
        <w:rPr>
          <w:rFonts w:ascii="宋体" w:cs="宋体" w:hint="eastAsia"/>
          <w:bCs/>
          <w:snapToGrid w:val="0"/>
          <w:kern w:val="21"/>
          <w:sz w:val="24"/>
          <w:highlight w:val="auto"/>
        </w:rPr>
        <w:t>成都市简阳市骏业大道与凌腾路交叉口东北100米天府机场海关5楼实验室。联系人：石莹，联系方式：18140030616；</w:t>
      </w:r>
    </w:p>
    <w:p>
      <w:pPr>
        <w:spacing w:line="520" w:lineRule="exact"/>
        <w:rPr>
          <w:rFonts w:ascii="宋体" w:cs="宋体"/>
          <w:sz w:val="24"/>
          <w:highlight w:val="auto"/>
        </w:rPr>
      </w:pPr>
      <w:r>
        <w:rPr>
          <w:rFonts w:ascii="宋体" w:cs="宋体" w:hint="eastAsia"/>
          <w:sz w:val="24"/>
          <w:highlight w:val="auto"/>
        </w:rPr>
        <w:t>2.付款方法和条件：</w:t>
      </w:r>
    </w:p>
    <w:p>
      <w:pPr>
        <w:spacing w:line="520" w:lineRule="exact"/>
        <w:rPr>
          <w:rFonts w:ascii="宋体" w:cs="宋体"/>
          <w:sz w:val="24"/>
          <w:highlight w:val="auto"/>
        </w:rPr>
      </w:pPr>
      <w:r>
        <w:rPr>
          <w:rFonts w:ascii="宋体" w:cs="宋体" w:hint="eastAsia"/>
          <w:sz w:val="24"/>
          <w:highlight w:val="auto"/>
        </w:rPr>
        <w:t>2.1合同签订后，采购人根据资金情况通知中标人开具增值税专用票，中标人向采购人提供对应合同价款的增值税专用发票（按国家相关规定无法开具的除外）后10个工作日内，支付合同金额的30%；中标人产品到货后，采购人根据资金情况通知中标人开具增值税专用票，中标人向采购人提供对应合同价款的增值税专用发票（按国家相关规定无法开具的除外）后10个工作日内，支付合同金额的60%；产品经采购人验收合格后，采购人根据资金情况通知中标人开具增值税专用票，中标人向采购人提供对应合同价款的增值税专用发票（按国家相关规定无法开具的除外），采购人在财政资金可以支付且收到发票后10个工作日内向中标人支付合同金额10%。</w:t>
      </w:r>
    </w:p>
    <w:p>
      <w:pPr>
        <w:spacing w:line="520" w:lineRule="exact"/>
        <w:rPr>
          <w:rFonts w:ascii="宋体" w:cs="宋体"/>
          <w:sz w:val="24"/>
          <w:highlight w:val="auto"/>
        </w:rPr>
      </w:pPr>
      <w:r>
        <w:rPr>
          <w:rFonts w:ascii="宋体" w:cs="宋体" w:hint="eastAsia"/>
          <w:sz w:val="24"/>
          <w:highlight w:val="auto"/>
        </w:rPr>
        <w:t>2.2因财政集中支付延误时间不计算在内，中标人提交付款单据迟延或缺失的，采购人有权相应顺延付款期限。</w:t>
      </w:r>
    </w:p>
    <w:p>
      <w:pPr>
        <w:pStyle w:val="15"/>
        <w:spacing w:line="400" w:lineRule="exact"/>
        <w:ind w:firstLineChars="0" w:firstLine="0"/>
        <w:rPr>
          <w:rFonts w:ascii="宋体" w:cs="宋体"/>
          <w:sz w:val="24"/>
          <w:highlight w:val="auto"/>
        </w:rPr>
      </w:pPr>
      <w:r>
        <w:rPr>
          <w:rFonts w:ascii="宋体" w:cs="宋体" w:hint="eastAsia"/>
          <w:sz w:val="24"/>
          <w:highlight w:val="auto"/>
        </w:rPr>
        <w:t>3.履约验收：</w:t>
      </w:r>
    </w:p>
    <w:p>
      <w:pPr>
        <w:pStyle w:val="15"/>
        <w:spacing w:line="400" w:lineRule="exact"/>
        <w:ind w:firstLineChars="0" w:firstLine="0"/>
        <w:rPr>
          <w:rFonts w:ascii="宋体" w:cs="宋体"/>
          <w:sz w:val="24"/>
          <w:highlight w:val="auto"/>
        </w:rPr>
      </w:pPr>
      <w:r>
        <w:rPr>
          <w:rFonts w:ascii="宋体" w:cs="宋体" w:hint="eastAsia"/>
          <w:sz w:val="24"/>
          <w:highlight w:val="auto"/>
        </w:rPr>
        <w:t>3.1履约验收主体：四川国际旅行卫生保健中心（成都海关口岸门诊部）</w:t>
      </w:r>
    </w:p>
    <w:p>
      <w:pPr>
        <w:pStyle w:val="15"/>
        <w:spacing w:line="400" w:lineRule="exact"/>
        <w:ind w:firstLineChars="0" w:firstLine="0"/>
        <w:rPr>
          <w:rFonts w:ascii="宋体" w:cs="宋体"/>
          <w:sz w:val="24"/>
          <w:highlight w:val="auto"/>
        </w:rPr>
      </w:pPr>
      <w:r>
        <w:rPr>
          <w:rFonts w:ascii="宋体" w:cs="宋体" w:hint="eastAsia"/>
          <w:sz w:val="24"/>
          <w:highlight w:val="auto"/>
        </w:rPr>
        <w:t>3.2履约验收时间：供应商提出验收申请之日起10日内组织验收</w:t>
      </w:r>
    </w:p>
    <w:p>
      <w:pPr>
        <w:pStyle w:val="15"/>
        <w:spacing w:line="400" w:lineRule="exact"/>
        <w:ind w:firstLineChars="0" w:firstLine="0"/>
        <w:rPr>
          <w:rFonts w:ascii="宋体" w:cs="宋体"/>
          <w:sz w:val="24"/>
          <w:highlight w:val="auto"/>
        </w:rPr>
      </w:pPr>
      <w:r>
        <w:rPr>
          <w:rFonts w:ascii="宋体" w:cs="宋体" w:hint="eastAsia"/>
          <w:sz w:val="24"/>
          <w:highlight w:val="auto"/>
        </w:rPr>
        <w:t>3.3验收组织方式：自行验收</w:t>
      </w:r>
    </w:p>
    <w:p>
      <w:pPr>
        <w:pStyle w:val="15"/>
        <w:spacing w:line="400" w:lineRule="exact"/>
        <w:ind w:firstLineChars="0" w:firstLine="0"/>
        <w:rPr>
          <w:rFonts w:ascii="宋体" w:cs="宋体"/>
          <w:sz w:val="24"/>
          <w:highlight w:val="auto"/>
        </w:rPr>
      </w:pPr>
      <w:r>
        <w:rPr>
          <w:rFonts w:ascii="宋体" w:cs="宋体" w:hint="eastAsia"/>
          <w:sz w:val="24"/>
          <w:highlight w:val="auto"/>
        </w:rPr>
        <w:t>3.4履约验收程序：一次性验收</w:t>
      </w:r>
    </w:p>
    <w:p>
      <w:pPr>
        <w:pStyle w:val="15"/>
        <w:spacing w:line="400" w:lineRule="exact"/>
        <w:ind w:firstLineChars="0" w:firstLine="0"/>
        <w:rPr>
          <w:rFonts w:ascii="宋体" w:cs="宋体"/>
          <w:sz w:val="24"/>
          <w:highlight w:val="auto"/>
        </w:rPr>
      </w:pPr>
      <w:r>
        <w:rPr>
          <w:rFonts w:ascii="宋体" w:cs="宋体" w:hint="eastAsia"/>
          <w:sz w:val="24"/>
          <w:highlight w:val="auto"/>
        </w:rPr>
        <w:t>3.5技术履约验收内容：按照本项目招标文件中“技术参数要求”及中标人投标文件进行验收。</w:t>
      </w:r>
    </w:p>
    <w:p>
      <w:pPr>
        <w:pStyle w:val="15"/>
        <w:spacing w:line="400" w:lineRule="exact"/>
        <w:ind w:firstLineChars="0" w:firstLine="0"/>
        <w:rPr>
          <w:rFonts w:ascii="宋体" w:cs="宋体"/>
          <w:sz w:val="24"/>
          <w:highlight w:val="auto"/>
        </w:rPr>
      </w:pPr>
      <w:r>
        <w:rPr>
          <w:rFonts w:ascii="宋体" w:cs="宋体" w:hint="eastAsia"/>
          <w:sz w:val="24"/>
          <w:highlight w:val="auto"/>
        </w:rPr>
        <w:t>3.6商务履约验收内容：按照本项目招标文件中“商务要求”及中标人投标文件进行验收。</w:t>
      </w:r>
    </w:p>
    <w:p>
      <w:pPr>
        <w:pStyle w:val="15"/>
        <w:spacing w:line="400" w:lineRule="exact"/>
        <w:ind w:firstLineChars="0" w:firstLine="0"/>
        <w:rPr>
          <w:highlight w:val="auto"/>
        </w:rPr>
      </w:pPr>
      <w:r>
        <w:rPr>
          <w:rFonts w:ascii="宋体" w:cs="宋体" w:hint="eastAsia"/>
          <w:sz w:val="24"/>
          <w:highlight w:val="auto"/>
        </w:rPr>
        <w:t>3.7履约验收标准：按国家相关文件进行验收，需提供合格证、中文标签、仪器说明书、发货清单、仪器安装报告、培训报告、仪器性能验证报告。按照应标的技术参数进行逐条验收，直至验收合格。</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 xml:space="preserve">3.8履约验收其他事项：（1）中标供应商须提供产品的原厂技术文件以及验收要求的校准文件或计量证书（其中高压灭菌器包含：压力表、安全阀、高压灭菌器）。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采购人提供完整的设备技术资料、货物制造商的出厂检验报告、合格证书、产品保证书、认证书、及说明书等，保证产品和安装材料是新生产、未经过使用的原装原厂正品。如在交付使用前发生设备损坏和不合格，采购人有权要求退货，因此造成的一切损失由供应商承担。（4）中标供应商根据合同要求进行系统安装、调试后，由采购人进行使用性能方面的验收，确保在使用过程内具有满意的性能。如质量不符合要求，供应商应无条件及时更换并不得以任何原因拖延。（5）采购人根据招标文件、中标供应商的投标文件、合同、制造厂商的产品验收标准及中华人民共和国有关标准进行验收。采购人有权委托国家认可的第三方检测机构对设备的灵敏度、测量精度等技术性能进行验收。因中标供应商所提供的产品未达到招标文件中技术性能指标的，一律拒收，不予付款，采购人有权因此终止合同的执行，中标供应商将自行承担所有经济损失；同时，采购人将保留向中标供应商因设备延迟到位而造成对口岸检验业务的不良影响追索相应“违约”责任的权利。 </w:t>
      </w:r>
    </w:p>
    <w:p>
      <w:pPr>
        <w:pStyle w:val="15"/>
        <w:spacing w:line="400" w:lineRule="exact"/>
        <w:ind w:firstLineChars="0" w:firstLine="0"/>
        <w:rPr>
          <w:rFonts w:ascii="宋体" w:cs="宋体"/>
          <w:sz w:val="24"/>
          <w:highlight w:val="auto"/>
        </w:rPr>
      </w:pPr>
      <w:r>
        <w:rPr>
          <w:rFonts w:ascii="宋体" w:cs="宋体" w:hint="eastAsia"/>
          <w:sz w:val="24"/>
          <w:highlight w:val="auto"/>
        </w:rPr>
        <w:t>4.售后服务要求</w:t>
      </w:r>
    </w:p>
    <w:p>
      <w:pPr>
        <w:pStyle w:val="15"/>
        <w:spacing w:line="400" w:lineRule="exact"/>
        <w:rPr>
          <w:rFonts w:ascii="宋体" w:cs="宋体" w:hint="eastAsia"/>
          <w:sz w:val="24"/>
          <w:highlight w:val="auto"/>
        </w:rPr>
      </w:pPr>
      <w:r>
        <w:rPr>
          <w:rFonts w:ascii="宋体" w:cs="宋体" w:hint="eastAsia"/>
          <w:sz w:val="24"/>
          <w:highlight w:val="auto"/>
        </w:rPr>
        <w:t>4.1</w:t>
        <w:tab/>
        <w:t>中标供应商应提供原产商质量保证和售后服务承诺书。在质量保证期内设备发生故障，中标供应商应提供原厂商售后维修和更换零件服务，不额外收费。合同签订后，在1周内中标供应商将仪器操作间的装修要求和水、电、气要求通知采购人。</w:t>
      </w:r>
    </w:p>
    <w:p>
      <w:pPr>
        <w:pStyle w:val="15"/>
        <w:spacing w:line="400" w:lineRule="exact"/>
        <w:rPr>
          <w:rFonts w:ascii="宋体" w:cs="宋体" w:hint="eastAsia"/>
          <w:sz w:val="24"/>
          <w:highlight w:val="auto"/>
        </w:rPr>
      </w:pPr>
      <w:r>
        <w:rPr>
          <w:rFonts w:ascii="宋体" w:cs="宋体" w:hint="eastAsia"/>
          <w:sz w:val="24"/>
          <w:highlight w:val="auto"/>
        </w:rPr>
        <w:t>4.2</w:t>
        <w:tab/>
        <w:t>中标供应商负责将设备运至采购人指定的地点，负责安装，现场培训及技术应用培训，不额外收费。中标价应包含产品的制造、材料费（主材及辅材）、运输、安装、验收、保修、税收、所有手续费等直至验收合格交付采购人使用的所有相关费用。中标价格在中标后的合同实施期间应保持不变，即不因市场价格或政策性价格的调整而增减（若因中标人责任而导致的采购人依据合同条款对中标人的扣款处罚除外）。</w:t>
      </w:r>
    </w:p>
    <w:p>
      <w:pPr>
        <w:pStyle w:val="15"/>
        <w:spacing w:line="400" w:lineRule="exact"/>
        <w:rPr>
          <w:rFonts w:ascii="宋体" w:cs="宋体" w:hint="eastAsia"/>
          <w:sz w:val="24"/>
          <w:highlight w:val="auto"/>
        </w:rPr>
      </w:pPr>
      <w:r>
        <w:rPr>
          <w:rFonts w:ascii="宋体" w:cs="宋体" w:hint="eastAsia"/>
          <w:sz w:val="24"/>
          <w:highlight w:val="auto"/>
        </w:rPr>
        <w:t>4.3</w:t>
        <w:tab/>
        <w:t>货到后，中标供应商负责派技术人员到现场进行安装、调试，并应配合按照应标的技术参数进行逐条验收，直至验收合格。</w:t>
      </w:r>
    </w:p>
    <w:p>
      <w:pPr>
        <w:pStyle w:val="15"/>
        <w:spacing w:line="400" w:lineRule="exact"/>
        <w:rPr>
          <w:rFonts w:ascii="宋体" w:cs="宋体" w:hint="eastAsia"/>
          <w:sz w:val="24"/>
          <w:highlight w:val="auto"/>
        </w:rPr>
      </w:pPr>
      <w:r>
        <w:rPr>
          <w:rFonts w:ascii="宋体" w:cs="宋体" w:hint="eastAsia"/>
          <w:sz w:val="24"/>
          <w:highlight w:val="auto"/>
        </w:rPr>
        <w:t>4.4</w:t>
        <w:tab/>
        <w:t>中标供应商能响应故障处理请求和电话咨询，提供5x8小时技术支持与售后服务，2小时内响应和24小时内派人到现场维修的售后服务。中标供应商应提供维保人员名单、联系电话。使用过程中安全阀需检定时，维保人员需到现场拆卸、安装安全阀，不额外收费。</w:t>
      </w:r>
    </w:p>
    <w:p>
      <w:pPr>
        <w:pStyle w:val="15"/>
        <w:spacing w:line="400" w:lineRule="exact"/>
        <w:rPr>
          <w:rFonts w:ascii="宋体" w:cs="宋体" w:hint="eastAsia"/>
          <w:sz w:val="24"/>
          <w:highlight w:val="auto"/>
        </w:rPr>
      </w:pPr>
      <w:r>
        <w:rPr>
          <w:rFonts w:ascii="宋体" w:cs="宋体" w:hint="eastAsia"/>
          <w:sz w:val="24"/>
          <w:highlight w:val="auto"/>
        </w:rPr>
        <w:t>4.5</w:t>
        <w:tab/>
        <w:t>现场培训：仪器在安装调试同时，中标供应商负责派工程师对采购人就仪器原理和基本操作进行现场培训，培训人员人数不限，培训时间视采购人需要，原则上不少于2天，确保采购人能正常操作；此项不额外收费。</w:t>
      </w:r>
    </w:p>
    <w:p>
      <w:pPr>
        <w:pStyle w:val="15"/>
        <w:spacing w:line="400" w:lineRule="exact"/>
        <w:rPr>
          <w:rFonts w:ascii="宋体" w:cs="宋体" w:hint="eastAsia"/>
          <w:sz w:val="24"/>
          <w:highlight w:val="auto"/>
        </w:rPr>
      </w:pPr>
      <w:r>
        <w:rPr>
          <w:rFonts w:ascii="宋体" w:cs="宋体" w:hint="eastAsia"/>
          <w:sz w:val="24"/>
          <w:highlight w:val="auto"/>
        </w:rPr>
        <w:t>4.6   质保期：产品安装调试经采购人验收合格当天起，质保期不少于5年，并提供仪器终身维修服务。</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5.涉及的商品包装和快递包装，均应符合《商品包装政府采购需求标准（试行）》《快递包装政府采购需求标准（试行）》的要求，包装应适应于远距离运输、防潮、防震、防锈和防野蛮装卸，以确保货物安全无损运抵指定地点。</w:t>
      </w:r>
    </w:p>
    <w:p>
      <w:pPr>
        <w:pStyle w:val="15"/>
        <w:spacing w:line="400" w:lineRule="exact"/>
        <w:outlineLvl w:val="2"/>
        <w:rPr>
          <w:rFonts w:ascii="宋体" w:cs="宋体" w:hint="eastAsia"/>
          <w:b/>
          <w:bCs/>
          <w:sz w:val="24"/>
          <w:highlight w:val="auto"/>
        </w:rPr>
      </w:pPr>
      <w:r>
        <w:rPr>
          <w:rFonts w:ascii="宋体" w:cs="宋体" w:hint="eastAsia"/>
          <w:b/>
          <w:bCs/>
          <w:sz w:val="24"/>
          <w:highlight w:val="auto"/>
        </w:rPr>
        <w:t>01包</w:t>
      </w:r>
      <w:r>
        <w:rPr>
          <w:rFonts w:ascii="宋体" w:cs="宋体" w:hint="eastAsia"/>
          <w:b/>
          <w:bCs/>
          <w:szCs w:val="21"/>
          <w:highlight w:val="auto"/>
        </w:rPr>
        <w:t>实验室试剂耗材智能储存管理设备</w:t>
      </w:r>
      <w:r>
        <w:rPr>
          <w:rFonts w:ascii="宋体" w:cs="宋体" w:hint="eastAsia"/>
          <w:b/>
          <w:bCs/>
          <w:sz w:val="24"/>
          <w:highlight w:val="auto"/>
        </w:rPr>
        <w:t>：</w:t>
      </w:r>
    </w:p>
    <w:p>
      <w:pPr>
        <w:spacing w:line="500" w:lineRule="exact"/>
        <w:rPr>
          <w:rFonts w:ascii="宋体" w:cs="宋体" w:hint="eastAsia"/>
          <w:bCs/>
          <w:sz w:val="24"/>
          <w:highlight w:val="auto"/>
        </w:rPr>
      </w:pPr>
      <w:r>
        <w:rPr>
          <w:rFonts w:ascii="宋体" w:cs="宋体" w:hint="eastAsia"/>
          <w:bCs/>
          <w:sz w:val="24"/>
          <w:highlight w:val="auto"/>
        </w:rPr>
        <w:t>1.交货期及地点</w:t>
      </w:r>
    </w:p>
    <w:p>
      <w:pPr>
        <w:spacing w:line="360" w:lineRule="auto"/>
        <w:rPr>
          <w:rFonts w:ascii="宋体" w:cs="宋体" w:hint="eastAsia"/>
          <w:bCs/>
          <w:snapToGrid w:val="0"/>
          <w:kern w:val="21"/>
          <w:sz w:val="24"/>
          <w:highlight w:val="auto"/>
        </w:rPr>
      </w:pPr>
      <w:r>
        <w:rPr>
          <w:rFonts w:ascii="宋体" w:cs="宋体" w:hint="eastAsia"/>
          <w:sz w:val="24"/>
          <w:highlight w:val="auto"/>
        </w:rPr>
        <w:t>1.1交货期：</w:t>
      </w:r>
    </w:p>
    <w:p>
      <w:pPr>
        <w:spacing w:line="520" w:lineRule="exact"/>
        <w:rPr>
          <w:rFonts w:ascii="宋体" w:cs="宋体" w:hint="eastAsia"/>
          <w:sz w:val="24"/>
          <w:highlight w:val="auto"/>
        </w:rPr>
      </w:pPr>
      <w:r>
        <w:rPr>
          <w:rFonts w:ascii="宋体" w:cs="宋体" w:hint="eastAsia"/>
          <w:bCs/>
          <w:snapToGrid w:val="0"/>
          <w:kern w:val="21"/>
          <w:sz w:val="24"/>
          <w:highlight w:val="auto"/>
        </w:rPr>
        <w:t>合同签订后30日内将货物送至（采购人指定地点）交付（采购人指定收货人）。中标供应商应在交货前向采购人提供交货计划；运输保险和装箱的费用由中标供应商承担</w:t>
      </w:r>
      <w:r>
        <w:rPr>
          <w:rFonts w:ascii="宋体" w:cs="宋体" w:hint="eastAsia"/>
          <w:bCs/>
          <w:sz w:val="24"/>
          <w:highlight w:val="auto"/>
        </w:rPr>
        <w:t>。</w:t>
      </w:r>
    </w:p>
    <w:p>
      <w:pPr>
        <w:spacing w:line="520" w:lineRule="exact"/>
        <w:rPr>
          <w:rFonts w:ascii="宋体" w:cs="宋体" w:hint="eastAsia"/>
          <w:bCs/>
          <w:snapToGrid w:val="0"/>
          <w:kern w:val="21"/>
          <w:sz w:val="24"/>
          <w:highlight w:val="auto"/>
        </w:rPr>
      </w:pPr>
      <w:r>
        <w:rPr>
          <w:rFonts w:ascii="宋体" w:cs="宋体" w:hint="eastAsia"/>
          <w:sz w:val="24"/>
          <w:highlight w:val="auto"/>
        </w:rPr>
        <w:t>1.2交货地点：</w:t>
      </w:r>
      <w:r>
        <w:rPr>
          <w:rFonts w:ascii="宋体" w:cs="宋体" w:hint="eastAsia"/>
          <w:bCs/>
          <w:snapToGrid w:val="0"/>
          <w:kern w:val="21"/>
          <w:sz w:val="24"/>
          <w:highlight w:val="auto"/>
        </w:rPr>
        <w:t>交货至四川省成都市武侯区桐梓林北路1号四川国际旅行卫生保健中心(成都海关口岸门诊部)。联系人：张琴，联系方式：13550264166。</w:t>
      </w:r>
    </w:p>
    <w:p>
      <w:pPr>
        <w:spacing w:line="520" w:lineRule="exact"/>
        <w:rPr>
          <w:rFonts w:ascii="宋体" w:cs="宋体"/>
          <w:sz w:val="24"/>
          <w:highlight w:val="auto"/>
        </w:rPr>
      </w:pPr>
      <w:r>
        <w:rPr>
          <w:rFonts w:ascii="宋体" w:cs="宋体" w:hint="eastAsia"/>
          <w:sz w:val="24"/>
          <w:highlight w:val="auto"/>
        </w:rPr>
        <w:t>2.付款方法和条件：</w:t>
      </w:r>
    </w:p>
    <w:p>
      <w:pPr>
        <w:spacing w:line="520" w:lineRule="exact"/>
        <w:rPr>
          <w:rFonts w:ascii="宋体" w:cs="宋体"/>
          <w:sz w:val="24"/>
          <w:highlight w:val="auto"/>
        </w:rPr>
      </w:pPr>
      <w:r>
        <w:rPr>
          <w:rFonts w:ascii="宋体" w:cs="宋体" w:hint="eastAsia"/>
          <w:sz w:val="24"/>
          <w:highlight w:val="auto"/>
        </w:rPr>
        <w:t>2.1合同签订后，采购人根据资金情况通知中标人开具增值税专用票，中标人向采购人提供对应合同价款的增值税专用发票（按国家相关规定无法开具的除外）后10个工作日内，支付合同金额的30%；中标人产品到货后，采购人根据资金情况通知中标人开具增值税专用票，中标人向采购人提供对应合同价款的增值税专用发票（按国家相关规定无法开具的除外）后10个工作日内，支付合同金额的60%；产品经采购人验收合格后，采购人根据资金情况通知中标人开具增值税专用票，中标人向采购人提供对应合同价款的增值税专用发票（按国家相关规定无法开具的除外），采购人在财政资金可以支付且收到发票后10个工作日内向中标人支付合同金额10%。</w:t>
      </w:r>
    </w:p>
    <w:p>
      <w:pPr>
        <w:spacing w:line="520" w:lineRule="exact"/>
        <w:rPr>
          <w:rFonts w:ascii="宋体" w:cs="宋体"/>
          <w:sz w:val="24"/>
          <w:highlight w:val="auto"/>
        </w:rPr>
      </w:pPr>
      <w:r>
        <w:rPr>
          <w:rFonts w:ascii="宋体" w:cs="宋体" w:hint="eastAsia"/>
          <w:sz w:val="24"/>
          <w:highlight w:val="auto"/>
        </w:rPr>
        <w:t>2.2因财政集中支付延误时间不计算在内，中标人提交付款单据迟延或缺失的，采购人有权相应顺延付款期限。</w:t>
      </w:r>
    </w:p>
    <w:p>
      <w:pPr>
        <w:pStyle w:val="15"/>
        <w:spacing w:line="400" w:lineRule="exact"/>
        <w:ind w:firstLineChars="0" w:firstLine="0"/>
        <w:rPr>
          <w:rFonts w:ascii="宋体" w:cs="宋体"/>
          <w:sz w:val="24"/>
          <w:highlight w:val="auto"/>
        </w:rPr>
      </w:pPr>
      <w:r>
        <w:rPr>
          <w:rFonts w:ascii="宋体" w:cs="宋体" w:hint="eastAsia"/>
          <w:sz w:val="24"/>
          <w:highlight w:val="auto"/>
        </w:rPr>
        <w:t>3.履约验收：</w:t>
      </w:r>
    </w:p>
    <w:p>
      <w:pPr>
        <w:pStyle w:val="15"/>
        <w:spacing w:line="400" w:lineRule="exact"/>
        <w:ind w:firstLineChars="0" w:firstLine="0"/>
        <w:rPr>
          <w:rFonts w:ascii="宋体" w:cs="宋体"/>
          <w:sz w:val="24"/>
          <w:highlight w:val="auto"/>
        </w:rPr>
      </w:pPr>
      <w:r>
        <w:rPr>
          <w:rFonts w:ascii="宋体" w:cs="宋体" w:hint="eastAsia"/>
          <w:sz w:val="24"/>
          <w:highlight w:val="auto"/>
        </w:rPr>
        <w:t>3.1履约验收主体：四川国际旅行卫生保健中心（成都海关口岸门诊部）</w:t>
      </w:r>
    </w:p>
    <w:p>
      <w:pPr>
        <w:pStyle w:val="15"/>
        <w:spacing w:line="400" w:lineRule="exact"/>
        <w:ind w:firstLineChars="0" w:firstLine="0"/>
        <w:rPr>
          <w:rFonts w:ascii="宋体" w:cs="宋体"/>
          <w:sz w:val="24"/>
          <w:highlight w:val="auto"/>
        </w:rPr>
      </w:pPr>
      <w:r>
        <w:rPr>
          <w:rFonts w:ascii="宋体" w:cs="宋体" w:hint="eastAsia"/>
          <w:sz w:val="24"/>
          <w:highlight w:val="auto"/>
        </w:rPr>
        <w:t>3.2履约验收时间：供应商提出验收申请之日起10日内组织验收</w:t>
      </w:r>
    </w:p>
    <w:p>
      <w:pPr>
        <w:pStyle w:val="15"/>
        <w:spacing w:line="400" w:lineRule="exact"/>
        <w:ind w:firstLineChars="0" w:firstLine="0"/>
        <w:rPr>
          <w:rFonts w:ascii="宋体" w:cs="宋体"/>
          <w:sz w:val="24"/>
          <w:highlight w:val="auto"/>
        </w:rPr>
      </w:pPr>
      <w:r>
        <w:rPr>
          <w:rFonts w:ascii="宋体" w:cs="宋体" w:hint="eastAsia"/>
          <w:sz w:val="24"/>
          <w:highlight w:val="auto"/>
        </w:rPr>
        <w:t>3.3验收组织方式：自行验收</w:t>
      </w:r>
    </w:p>
    <w:p>
      <w:pPr>
        <w:pStyle w:val="15"/>
        <w:spacing w:line="400" w:lineRule="exact"/>
        <w:ind w:firstLineChars="0" w:firstLine="0"/>
        <w:rPr>
          <w:rFonts w:ascii="宋体" w:cs="宋体"/>
          <w:sz w:val="24"/>
          <w:highlight w:val="auto"/>
        </w:rPr>
      </w:pPr>
      <w:r>
        <w:rPr>
          <w:rFonts w:ascii="宋体" w:cs="宋体" w:hint="eastAsia"/>
          <w:sz w:val="24"/>
          <w:highlight w:val="auto"/>
        </w:rPr>
        <w:t>3.4履约验收程序：一次性验收</w:t>
      </w:r>
    </w:p>
    <w:p>
      <w:pPr>
        <w:pStyle w:val="15"/>
        <w:spacing w:line="400" w:lineRule="exact"/>
        <w:ind w:firstLineChars="0" w:firstLine="0"/>
        <w:rPr>
          <w:rFonts w:ascii="宋体" w:cs="宋体"/>
          <w:sz w:val="24"/>
          <w:highlight w:val="auto"/>
        </w:rPr>
      </w:pPr>
      <w:r>
        <w:rPr>
          <w:rFonts w:ascii="宋体" w:cs="宋体" w:hint="eastAsia"/>
          <w:sz w:val="24"/>
          <w:highlight w:val="auto"/>
        </w:rPr>
        <w:t>3.5技术履约验收内容：按照本项目招标文件中“技术参数要求”及中标人投标文件进行验收。</w:t>
      </w:r>
    </w:p>
    <w:p>
      <w:pPr>
        <w:pStyle w:val="15"/>
        <w:spacing w:line="400" w:lineRule="exact"/>
        <w:ind w:firstLineChars="0" w:firstLine="0"/>
        <w:rPr>
          <w:rFonts w:ascii="宋体" w:cs="宋体"/>
          <w:sz w:val="24"/>
          <w:highlight w:val="auto"/>
        </w:rPr>
      </w:pPr>
      <w:r>
        <w:rPr>
          <w:rFonts w:ascii="宋体" w:cs="宋体" w:hint="eastAsia"/>
          <w:sz w:val="24"/>
          <w:highlight w:val="auto"/>
        </w:rPr>
        <w:t>3.6商务履约验收内容：按照本项目招标文件中“商务要求”及中标人投标文件进行验收。</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3.7履约验收标准：按国家相关文件进行验收，需提供合格证、中文标签、仪器说明书、发货清单、仪器安装报告、培训报告、仪器性能验证报告。按照应标的技术参数进行逐条验收，直至验收合格。</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 xml:space="preserve">3.8履约验收其他事项：（1）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采购人提供完整的设备技术资料、货物制造商的出厂检验报告、合格证书、产品保证书、认证书、及说明书等， 保证产品和安装材料是新生产、未经过使用的原装原厂正品。 如在交付使用前发生设备损坏和不合格，采购人有权要求退货，因此造成的一切损失由供应商承担。（4）中标供应商根据合同要求进行系统安装、调试后，由采购人进行使用性能方面的验收，确保在使用过程内具有满意的性能。如质量不符合要求，供应商应无条件及时更换并不得以任何原因拖延。 （5）采购人根据招标文件、中标供应商的投标文件、合同、制造厂商的产品验收标准及中华人民共和国有关标准进行验收。采购人有权委托国家认可的第三方检测机构对设备的灵敏度、 测量精度等技术性能进行验收。因中标供应商所提供的产品未达到招标文件中技术性能指标的，一律拒收，不予付款，采购人有权因此终止合同的执行，中标供应商将自行承担所有经济损失；同时，采购人将保留向中标供应商因设备延迟到位而造成对口岸检验业务的不良影响追索相应"违约"责任的权利；（6）质保期产品安装调试经采购人验收合格当天起，质保期≥5年，并提供仪器终身维修服务。 </w:t>
      </w:r>
    </w:p>
    <w:p>
      <w:pPr>
        <w:pStyle w:val="15"/>
        <w:spacing w:line="400" w:lineRule="exact"/>
        <w:ind w:firstLineChars="0" w:firstLine="0"/>
        <w:rPr>
          <w:rFonts w:ascii="宋体" w:cs="宋体"/>
          <w:sz w:val="24"/>
          <w:highlight w:val="auto"/>
        </w:rPr>
      </w:pPr>
      <w:r>
        <w:rPr>
          <w:rFonts w:ascii="宋体" w:cs="宋体" w:hint="eastAsia"/>
          <w:sz w:val="24"/>
          <w:highlight w:val="auto"/>
        </w:rPr>
        <w:t>4.售后服务要求</w:t>
      </w:r>
    </w:p>
    <w:p>
      <w:pPr>
        <w:pStyle w:val="15"/>
        <w:spacing w:line="400" w:lineRule="exact"/>
        <w:rPr>
          <w:rFonts w:ascii="宋体" w:cs="宋体" w:hint="eastAsia"/>
          <w:sz w:val="24"/>
          <w:highlight w:val="auto"/>
        </w:rPr>
      </w:pPr>
      <w:r>
        <w:rPr>
          <w:rFonts w:ascii="宋体" w:cs="宋体" w:hint="eastAsia"/>
          <w:sz w:val="24"/>
          <w:highlight w:val="auto"/>
        </w:rPr>
        <w:t>4.1</w:t>
        <w:tab/>
        <w:t>中标供应商应提供原产商质量保证和售后服务承诺书。在质量保证期内设备发生故障，中标供应商应提供原厂商售后维修和更换零件服务，不额外收费。质保期后，中标供应商提供设备终身技术支持，包括故障排除和零配件的供应、仪器软件升级和培训，不外收费：设备出现故障需更换配件时，只收取零配件费用，免收其它费用。合同签订后，在1周内中标供应商将仪器操作间的装修要求和水、电、气要求通知采购人。</w:t>
      </w:r>
    </w:p>
    <w:p>
      <w:pPr>
        <w:pStyle w:val="15"/>
        <w:spacing w:line="400" w:lineRule="exact"/>
        <w:rPr>
          <w:rFonts w:ascii="宋体" w:cs="宋体" w:hint="eastAsia"/>
          <w:sz w:val="24"/>
          <w:highlight w:val="auto"/>
        </w:rPr>
      </w:pPr>
      <w:r>
        <w:rPr>
          <w:rFonts w:ascii="宋体" w:cs="宋体" w:hint="eastAsia"/>
          <w:sz w:val="24"/>
          <w:highlight w:val="auto"/>
        </w:rPr>
        <w:t>4.2</w:t>
        <w:tab/>
        <w:t>中标供应商负责将设备运至采购人指定的地点，负责安装，现场培训及技术应用培训，不额外收费。中标价应包含产品的制造 、材料费（主材及辅材）、运输、安装、验收、保修、税收、 所有手续费等直至验收合格交付采购人使用的所有相关费用 。中标价格在中标后的合同实施期间应保持不变，即不因市场价格或政策性价格的调整而增减（若因中标人责任而导致的采购人依据合同条款对中标人的扣款处罚除外）。</w:t>
      </w:r>
    </w:p>
    <w:p>
      <w:pPr>
        <w:pStyle w:val="15"/>
        <w:spacing w:line="400" w:lineRule="exact"/>
        <w:rPr>
          <w:rFonts w:ascii="宋体" w:cs="宋体" w:hint="eastAsia"/>
          <w:sz w:val="24"/>
          <w:highlight w:val="auto"/>
        </w:rPr>
      </w:pPr>
      <w:r>
        <w:rPr>
          <w:rFonts w:ascii="宋体" w:cs="宋体" w:hint="eastAsia"/>
          <w:sz w:val="24"/>
          <w:highlight w:val="auto"/>
        </w:rPr>
        <w:t>4.3</w:t>
        <w:tab/>
        <w:t>货到后，中标供应商负责派技术人员到现场进行安装、调试，并应配合按照应标的技术参数进行逐条验收，直至验收合格。</w:t>
      </w:r>
    </w:p>
    <w:p>
      <w:pPr>
        <w:pStyle w:val="15"/>
        <w:spacing w:line="400" w:lineRule="exact"/>
        <w:rPr>
          <w:rFonts w:ascii="宋体" w:cs="宋体" w:hint="eastAsia"/>
          <w:sz w:val="24"/>
          <w:highlight w:val="auto"/>
        </w:rPr>
      </w:pPr>
      <w:r>
        <w:rPr>
          <w:rFonts w:ascii="宋体" w:cs="宋体" w:hint="eastAsia"/>
          <w:sz w:val="24"/>
          <w:highlight w:val="auto"/>
        </w:rPr>
        <w:t>4.4</w:t>
        <w:tab/>
        <w:t>中标供应商为实验室LIMS系统与仪器进行双向联接，不额外收费。</w:t>
      </w:r>
    </w:p>
    <w:p>
      <w:pPr>
        <w:pStyle w:val="15"/>
        <w:spacing w:line="400" w:lineRule="exact"/>
        <w:rPr>
          <w:rFonts w:ascii="宋体" w:cs="宋体" w:hint="eastAsia"/>
          <w:sz w:val="24"/>
          <w:highlight w:val="auto"/>
        </w:rPr>
      </w:pPr>
      <w:r>
        <w:rPr>
          <w:rFonts w:ascii="宋体" w:cs="宋体" w:hint="eastAsia"/>
          <w:sz w:val="24"/>
          <w:highlight w:val="auto"/>
        </w:rPr>
        <w:t>4.5  中标供应商能响应故障处理请求和电话咨询，提供7x24小时技术支持，2小时内响应和24小时内提出解决方案，应在 48小时内派人到现场维修的售后服务。中标供应商应提供维保人员名单、联系电话。</w:t>
      </w:r>
    </w:p>
    <w:p>
      <w:pPr>
        <w:pStyle w:val="15"/>
        <w:spacing w:line="400" w:lineRule="exact"/>
        <w:rPr>
          <w:rFonts w:ascii="宋体" w:cs="宋体" w:hint="eastAsia"/>
          <w:sz w:val="24"/>
          <w:highlight w:val="auto"/>
        </w:rPr>
      </w:pPr>
      <w:r>
        <w:rPr>
          <w:rFonts w:ascii="宋体" w:cs="宋体" w:hint="eastAsia"/>
          <w:sz w:val="24"/>
          <w:highlight w:val="auto"/>
        </w:rPr>
        <w:t>4.6</w:t>
        <w:tab/>
        <w:t>现场培训：仪器在安装调试同时，中标供应商负责派工程师对采购人就仪器原理和基本操作进行现场培训，培训人员人数不限，培训时间视采购人需要，原则上不少于2天，确保采购人能正常操作；此项不额外收费。</w:t>
      </w:r>
    </w:p>
    <w:p>
      <w:pPr>
        <w:pStyle w:val="15"/>
        <w:spacing w:line="400" w:lineRule="exact"/>
        <w:rPr>
          <w:rFonts w:ascii="宋体" w:cs="宋体" w:hint="eastAsia"/>
          <w:sz w:val="24"/>
          <w:highlight w:val="auto"/>
        </w:rPr>
      </w:pPr>
      <w:r>
        <w:rPr>
          <w:rFonts w:ascii="宋体" w:cs="宋体" w:hint="eastAsia"/>
          <w:sz w:val="24"/>
          <w:highlight w:val="auto"/>
        </w:rPr>
        <w:t>4.7   中标供应商中标后在四川成都设有投标设备维修点及配置有足够的具备维护能力的售后服务人员。供应商在质量保证期内提供每年1次设备厂家校正服务，不额外收费。</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5.涉及的商品包装和快递包装，均应符合《商品包装政府采购需求标准（试行）》《快递包装政府采购需求标准（试行）》的要求，包装应适应于远距离运输、防潮、防震、防锈和防野蛮装卸，以确保货物安全无损运抵指定地点。</w:t>
      </w:r>
    </w:p>
    <w:p>
      <w:pPr>
        <w:pStyle w:val="15"/>
        <w:spacing w:line="400" w:lineRule="exact"/>
        <w:outlineLvl w:val="2"/>
        <w:rPr>
          <w:rFonts w:ascii="宋体" w:cs="宋体" w:hint="eastAsia"/>
          <w:b/>
          <w:bCs/>
          <w:sz w:val="24"/>
          <w:highlight w:val="auto"/>
        </w:rPr>
      </w:pPr>
      <w:r>
        <w:rPr>
          <w:rFonts w:ascii="宋体" w:cs="宋体" w:hint="eastAsia"/>
          <w:b/>
          <w:bCs/>
          <w:sz w:val="24"/>
          <w:highlight w:val="auto"/>
        </w:rPr>
        <w:t>02包：</w:t>
      </w:r>
    </w:p>
    <w:p>
      <w:pPr>
        <w:spacing w:line="500" w:lineRule="exact"/>
        <w:rPr>
          <w:rFonts w:ascii="宋体" w:cs="宋体" w:hint="eastAsia"/>
          <w:bCs/>
          <w:sz w:val="24"/>
          <w:highlight w:val="auto"/>
        </w:rPr>
      </w:pPr>
      <w:r>
        <w:rPr>
          <w:rFonts w:ascii="宋体" w:cs="宋体" w:hint="eastAsia"/>
          <w:bCs/>
          <w:sz w:val="24"/>
          <w:highlight w:val="auto"/>
        </w:rPr>
        <w:t>1.交货期及地点</w:t>
      </w:r>
    </w:p>
    <w:p>
      <w:pPr>
        <w:spacing w:line="360" w:lineRule="auto"/>
        <w:rPr>
          <w:rFonts w:ascii="宋体" w:cs="宋体" w:hint="eastAsia"/>
          <w:bCs/>
          <w:snapToGrid w:val="0"/>
          <w:kern w:val="21"/>
          <w:sz w:val="24"/>
          <w:highlight w:val="auto"/>
        </w:rPr>
      </w:pPr>
      <w:r>
        <w:rPr>
          <w:rFonts w:ascii="宋体" w:cs="宋体" w:hint="eastAsia"/>
          <w:sz w:val="24"/>
          <w:highlight w:val="auto"/>
        </w:rPr>
        <w:t>1.1交货期：</w:t>
      </w:r>
    </w:p>
    <w:p>
      <w:pPr>
        <w:spacing w:line="520" w:lineRule="exact"/>
        <w:rPr>
          <w:rFonts w:ascii="宋体" w:cs="宋体" w:hint="eastAsia"/>
          <w:sz w:val="24"/>
          <w:highlight w:val="auto"/>
        </w:rPr>
      </w:pPr>
      <w:r>
        <w:rPr>
          <w:rFonts w:ascii="宋体" w:cs="宋体" w:hint="eastAsia"/>
          <w:bCs/>
          <w:snapToGrid w:val="0"/>
          <w:kern w:val="21"/>
          <w:sz w:val="24"/>
          <w:highlight w:val="auto"/>
        </w:rPr>
        <w:t>合同签订后30日内将货物送至（采购人指定地点）交付（采购人指定收货人）。中标供应商应在交货前向采购人提供交货计划；运输保险和装箱的费用由中标供应商承担</w:t>
      </w:r>
      <w:r>
        <w:rPr>
          <w:rFonts w:ascii="宋体" w:cs="宋体" w:hint="eastAsia"/>
          <w:bCs/>
          <w:sz w:val="24"/>
          <w:highlight w:val="auto"/>
        </w:rPr>
        <w:t>。</w:t>
      </w:r>
    </w:p>
    <w:p>
      <w:pPr>
        <w:spacing w:line="520" w:lineRule="exact"/>
        <w:rPr>
          <w:rFonts w:ascii="宋体" w:cs="宋体" w:hint="eastAsia"/>
          <w:bCs/>
          <w:snapToGrid w:val="0"/>
          <w:kern w:val="21"/>
          <w:sz w:val="24"/>
          <w:highlight w:val="auto"/>
        </w:rPr>
      </w:pPr>
      <w:r>
        <w:rPr>
          <w:rFonts w:ascii="宋体" w:cs="宋体" w:hint="eastAsia"/>
          <w:sz w:val="24"/>
          <w:highlight w:val="auto"/>
        </w:rPr>
        <w:t>1.2交货地点：</w:t>
      </w:r>
      <w:r>
        <w:rPr>
          <w:rFonts w:ascii="宋体" w:cs="宋体" w:hint="eastAsia"/>
          <w:bCs/>
          <w:snapToGrid w:val="0"/>
          <w:kern w:val="21"/>
          <w:sz w:val="24"/>
          <w:highlight w:val="auto"/>
        </w:rPr>
        <w:t>交货至四川省成都市武侯区桐梓林北路1号四川国际旅行卫生保健中心(成都海关口岸门诊部)。联系人：张琴，联系方式：13550264166。</w:t>
      </w:r>
    </w:p>
    <w:p>
      <w:pPr>
        <w:spacing w:line="520" w:lineRule="exact"/>
        <w:rPr>
          <w:rFonts w:ascii="宋体" w:cs="宋体"/>
          <w:sz w:val="24"/>
          <w:highlight w:val="auto"/>
        </w:rPr>
      </w:pPr>
      <w:r>
        <w:rPr>
          <w:rFonts w:ascii="宋体" w:cs="宋体" w:hint="eastAsia"/>
          <w:sz w:val="24"/>
          <w:highlight w:val="auto"/>
        </w:rPr>
        <w:t>2.付款方法和条件：</w:t>
      </w:r>
    </w:p>
    <w:p>
      <w:pPr>
        <w:spacing w:line="520" w:lineRule="exact"/>
        <w:rPr>
          <w:rFonts w:ascii="宋体" w:cs="宋体"/>
          <w:sz w:val="24"/>
          <w:highlight w:val="auto"/>
        </w:rPr>
      </w:pPr>
      <w:r>
        <w:rPr>
          <w:rFonts w:ascii="宋体" w:cs="宋体" w:hint="eastAsia"/>
          <w:sz w:val="24"/>
          <w:highlight w:val="auto"/>
        </w:rPr>
        <w:t>2.1合同签订后，采购人根据资金情况通知中标人开具增值税专用票，中标人向采购人提供对应合同价款的增值税专用发票（按国家相关规定无法开具的除外）后10个工作日内，支付合同金额的30%；中标人产品到货后，采购人根据资金情况通知中标人开具增值税专用票，中标人向采购人提供对应合同价款的增值税专用发票（按国家相关规定无法开具的除外）后10个工作日内，支付合同金额的60%；产品经采购人验收合格后，采购人根据资金情况通知中标人开具增值税专用票，中标人向采购人提供对应合同价款的增值税专用发票（按国家相关规定无法开具的除外），采购人在财政资金可以支付且收到发票后10个工作日内向中标人支付合同金额10%。</w:t>
      </w:r>
    </w:p>
    <w:p>
      <w:pPr>
        <w:spacing w:line="520" w:lineRule="exact"/>
        <w:rPr>
          <w:rFonts w:ascii="宋体" w:cs="宋体"/>
          <w:sz w:val="24"/>
          <w:highlight w:val="auto"/>
        </w:rPr>
      </w:pPr>
      <w:r>
        <w:rPr>
          <w:rFonts w:ascii="宋体" w:cs="宋体" w:hint="eastAsia"/>
          <w:sz w:val="24"/>
          <w:highlight w:val="auto"/>
        </w:rPr>
        <w:t>2.2因财政集中支付延误时间不计算在内，中标人提交付款单据迟延或缺失的，采购人有权相应顺延付款期限。</w:t>
      </w:r>
    </w:p>
    <w:p>
      <w:pPr>
        <w:pStyle w:val="15"/>
        <w:spacing w:line="400" w:lineRule="exact"/>
        <w:ind w:firstLineChars="0" w:firstLine="0"/>
        <w:rPr>
          <w:rFonts w:ascii="宋体" w:cs="宋体"/>
          <w:sz w:val="24"/>
          <w:highlight w:val="auto"/>
        </w:rPr>
      </w:pPr>
      <w:r>
        <w:rPr>
          <w:rFonts w:ascii="宋体" w:cs="宋体" w:hint="eastAsia"/>
          <w:sz w:val="24"/>
          <w:highlight w:val="auto"/>
        </w:rPr>
        <w:t>3.履约验收：</w:t>
      </w:r>
    </w:p>
    <w:p>
      <w:pPr>
        <w:pStyle w:val="15"/>
        <w:spacing w:line="400" w:lineRule="exact"/>
        <w:ind w:firstLineChars="0" w:firstLine="0"/>
        <w:rPr>
          <w:rFonts w:ascii="宋体" w:cs="宋体"/>
          <w:sz w:val="24"/>
          <w:highlight w:val="auto"/>
        </w:rPr>
      </w:pPr>
      <w:r>
        <w:rPr>
          <w:rFonts w:ascii="宋体" w:cs="宋体" w:hint="eastAsia"/>
          <w:sz w:val="24"/>
          <w:highlight w:val="auto"/>
        </w:rPr>
        <w:t>3.1履约验收主体：四川国际旅行卫生保健中心（成都海关口岸门诊部）</w:t>
      </w:r>
    </w:p>
    <w:p>
      <w:pPr>
        <w:pStyle w:val="15"/>
        <w:spacing w:line="400" w:lineRule="exact"/>
        <w:ind w:firstLineChars="0" w:firstLine="0"/>
        <w:rPr>
          <w:rFonts w:ascii="宋体" w:cs="宋体"/>
          <w:sz w:val="24"/>
          <w:highlight w:val="auto"/>
        </w:rPr>
      </w:pPr>
      <w:r>
        <w:rPr>
          <w:rFonts w:ascii="宋体" w:cs="宋体" w:hint="eastAsia"/>
          <w:sz w:val="24"/>
          <w:highlight w:val="auto"/>
        </w:rPr>
        <w:t>3.2履约验收时间：供应商提出验收申请之日起10日内组织验收</w:t>
      </w:r>
    </w:p>
    <w:p>
      <w:pPr>
        <w:pStyle w:val="15"/>
        <w:spacing w:line="400" w:lineRule="exact"/>
        <w:ind w:firstLineChars="0" w:firstLine="0"/>
        <w:rPr>
          <w:rFonts w:ascii="宋体" w:cs="宋体"/>
          <w:sz w:val="24"/>
          <w:highlight w:val="auto"/>
        </w:rPr>
      </w:pPr>
      <w:r>
        <w:rPr>
          <w:rFonts w:ascii="宋体" w:cs="宋体" w:hint="eastAsia"/>
          <w:sz w:val="24"/>
          <w:highlight w:val="auto"/>
        </w:rPr>
        <w:t>3.3验收组织方式：自行验收</w:t>
      </w:r>
    </w:p>
    <w:p>
      <w:pPr>
        <w:pStyle w:val="15"/>
        <w:spacing w:line="400" w:lineRule="exact"/>
        <w:ind w:firstLineChars="0" w:firstLine="0"/>
        <w:rPr>
          <w:rFonts w:ascii="宋体" w:cs="宋体"/>
          <w:sz w:val="24"/>
          <w:highlight w:val="auto"/>
        </w:rPr>
      </w:pPr>
      <w:r>
        <w:rPr>
          <w:rFonts w:ascii="宋体" w:cs="宋体" w:hint="eastAsia"/>
          <w:sz w:val="24"/>
          <w:highlight w:val="auto"/>
        </w:rPr>
        <w:t>3.4履约验收程序：一次性验收</w:t>
      </w:r>
    </w:p>
    <w:p>
      <w:pPr>
        <w:pStyle w:val="15"/>
        <w:spacing w:line="400" w:lineRule="exact"/>
        <w:ind w:firstLineChars="0" w:firstLine="0"/>
        <w:rPr>
          <w:rFonts w:ascii="宋体" w:cs="宋体"/>
          <w:sz w:val="24"/>
          <w:highlight w:val="auto"/>
        </w:rPr>
      </w:pPr>
      <w:r>
        <w:rPr>
          <w:rFonts w:ascii="宋体" w:cs="宋体" w:hint="eastAsia"/>
          <w:sz w:val="24"/>
          <w:highlight w:val="auto"/>
        </w:rPr>
        <w:t>3.5技术履约验收内容：按照本项目招标文件中“技术参数要求”及中标人投标文件进行验收。</w:t>
      </w:r>
    </w:p>
    <w:p>
      <w:pPr>
        <w:pStyle w:val="15"/>
        <w:spacing w:line="400" w:lineRule="exact"/>
        <w:ind w:firstLineChars="0" w:firstLine="0"/>
        <w:rPr>
          <w:rFonts w:ascii="宋体" w:cs="宋体"/>
          <w:sz w:val="24"/>
          <w:highlight w:val="auto"/>
        </w:rPr>
      </w:pPr>
      <w:r>
        <w:rPr>
          <w:rFonts w:ascii="宋体" w:cs="宋体" w:hint="eastAsia"/>
          <w:sz w:val="24"/>
          <w:highlight w:val="auto"/>
        </w:rPr>
        <w:t>3.6商务履约验收内容：按照本项目招标文件中“商务要求”及中标人投标文件进行验收。</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3.7履约验收标准：按国家相关文件进行验收，需提供合格证、中文标签、仪器说明书、发货清单、仪器安装报告、培训报告、仪器性能验证报告。按照应标的技术参数进行逐条验收，直至验收合格。</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 xml:space="preserve">3.8履约验收其他事项：（1）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采购人提供完整的设备技术资料、货物制造商的出厂检验报告、合格证书、产品保证书、认证书、及说明书等， 保证产品和安装材料是新生产、未经过使用的原装原厂正品。 如在交付使用前发生设备损坏和不合格，采购人有权要求退货，因此造成的一切损失由供应商承担。（4）中标供应商根据合同要求进行系统安装、调试后，由采购人进行使用性能方面的验收，确保在使用过程内具有满意的性能。如质量不符合要求，供应商应无条件及时更换并不得以任何原因拖延。 （5）采购人根据招标文件、中标供应商的投标文件、合同 、制造厂商的产品验收标准及中华人民共和国有关标准进行验收。采购人有权委托国家认可的第三方检测机构对设备的灵敏度、 测量精度等技术性能进行验收。因中标供应商所提供的产品未达到招标文件中技术性能指标的，一律拒收，不予付款，采购人有权因此终止合同的执行，中标供应商将自行承担所有经济损失；同时，采购人将保留向中标供应商因设备延迟到位而造成对口岸检验业务的不良影响追索相应"违约"责任的权利；（6）质保期产品安装调试经采购人验收合格当天起，质保期≥5年，并提供仪器终身维修服务。 </w:t>
      </w:r>
    </w:p>
    <w:p>
      <w:pPr>
        <w:pStyle w:val="15"/>
        <w:spacing w:line="400" w:lineRule="exact"/>
        <w:ind w:firstLineChars="0" w:firstLine="0"/>
        <w:rPr>
          <w:rFonts w:ascii="宋体" w:cs="宋体"/>
          <w:sz w:val="24"/>
          <w:highlight w:val="auto"/>
        </w:rPr>
      </w:pPr>
      <w:r>
        <w:rPr>
          <w:rFonts w:ascii="宋体" w:cs="宋体" w:hint="eastAsia"/>
          <w:sz w:val="24"/>
          <w:highlight w:val="auto"/>
        </w:rPr>
        <w:t>4.售后服务要求</w:t>
      </w:r>
    </w:p>
    <w:p>
      <w:pPr>
        <w:pStyle w:val="15"/>
        <w:spacing w:line="400" w:lineRule="exact"/>
        <w:rPr>
          <w:rFonts w:ascii="宋体" w:cs="宋体" w:hint="eastAsia"/>
          <w:sz w:val="24"/>
          <w:highlight w:val="auto"/>
        </w:rPr>
      </w:pPr>
      <w:r>
        <w:rPr>
          <w:rFonts w:ascii="宋体" w:cs="宋体" w:hint="eastAsia"/>
          <w:sz w:val="24"/>
          <w:highlight w:val="auto"/>
        </w:rPr>
        <w:t>4.1</w:t>
        <w:tab/>
        <w:t>中标供应商应提供原产商质量保证和售后服务承诺书。在质保期内，产品因故障停用，质保期相应顺延。在质量保证期内设备发生故障，中标供应商应提供原厂商售后维修和更换零件服务，不额外收费。质保期后，中标供应商提供设备终身技术支持，包括故障排除和零配件的供应、仪器软件升级和培训，不外收费：设备出现故障需更换配件时，只收取零配件费用，免收其它费用。合同签订后，在1周内中标供应商将仪器操作间的装修要求和水、电、气要求通知采购人。</w:t>
      </w:r>
    </w:p>
    <w:p>
      <w:pPr>
        <w:pStyle w:val="15"/>
        <w:spacing w:line="400" w:lineRule="exact"/>
        <w:rPr>
          <w:rFonts w:ascii="宋体" w:cs="宋体" w:hint="eastAsia"/>
          <w:sz w:val="24"/>
          <w:highlight w:val="auto"/>
        </w:rPr>
      </w:pPr>
      <w:r>
        <w:rPr>
          <w:rFonts w:ascii="宋体" w:cs="宋体" w:hint="eastAsia"/>
          <w:sz w:val="24"/>
          <w:highlight w:val="auto"/>
        </w:rPr>
        <w:t>4.2</w:t>
        <w:tab/>
        <w:t>中标供应商负责将设备运至采购人指定的地点，负责安装，现场培训及技术应用培训，不额外收费。中标价应包含产品的制造 、材料费（主材及辅材）、运输、安装、验收、保修、税收、 所有手续费等直至验收合格交付采购人使用的所有相关费用 。中标价格在中标后的合同实施期间应保持不变，即不因市场价格或政策性价格的调整而增减（若因中标人责任而导致的采购人依据合同条款对中标人的扣款处罚除外）。</w:t>
      </w:r>
    </w:p>
    <w:p>
      <w:pPr>
        <w:pStyle w:val="15"/>
        <w:spacing w:line="400" w:lineRule="exact"/>
        <w:rPr>
          <w:rFonts w:ascii="宋体" w:cs="宋体" w:hint="eastAsia"/>
          <w:sz w:val="24"/>
          <w:highlight w:val="auto"/>
        </w:rPr>
      </w:pPr>
      <w:r>
        <w:rPr>
          <w:rFonts w:ascii="宋体" w:cs="宋体" w:hint="eastAsia"/>
          <w:sz w:val="24"/>
          <w:highlight w:val="auto"/>
        </w:rPr>
        <w:t>4.3</w:t>
        <w:tab/>
        <w:t>货到后，中标供应商负责派技术人员到现场进行安装、调试，并应配合按照应标的技术参数进行逐条验收，直至验收合格。</w:t>
      </w:r>
    </w:p>
    <w:p>
      <w:pPr>
        <w:pStyle w:val="15"/>
        <w:spacing w:line="400" w:lineRule="exact"/>
        <w:rPr>
          <w:rFonts w:ascii="宋体" w:cs="宋体" w:hint="eastAsia"/>
          <w:sz w:val="24"/>
          <w:highlight w:val="auto"/>
        </w:rPr>
      </w:pPr>
      <w:r>
        <w:rPr>
          <w:rFonts w:ascii="宋体" w:cs="宋体" w:hint="eastAsia"/>
          <w:sz w:val="24"/>
          <w:highlight w:val="auto"/>
        </w:rPr>
        <w:t>4.4</w:t>
        <w:tab/>
        <w:t>中标供应商为实验室LIMS系统与仪器进行双向联接，不额外收费。</w:t>
      </w:r>
    </w:p>
    <w:p>
      <w:pPr>
        <w:pStyle w:val="15"/>
        <w:spacing w:line="400" w:lineRule="exact"/>
        <w:rPr>
          <w:rFonts w:ascii="宋体" w:cs="宋体" w:hint="eastAsia"/>
          <w:sz w:val="24"/>
          <w:highlight w:val="auto"/>
        </w:rPr>
      </w:pPr>
      <w:r>
        <w:rPr>
          <w:rFonts w:ascii="宋体" w:cs="宋体" w:hint="eastAsia"/>
          <w:sz w:val="24"/>
          <w:highlight w:val="auto"/>
        </w:rPr>
        <w:t>4.5   中标供应商能响应故障处理请求和电话咨询，提供7x24小时技术支持，2小时内响应和24小时内提出解决方案，应在 48小时内派人到现场维修的售后服务。中标供应商应提供维保人员名单、联系电话。</w:t>
      </w:r>
    </w:p>
    <w:p>
      <w:pPr>
        <w:pStyle w:val="15"/>
        <w:spacing w:line="400" w:lineRule="exact"/>
        <w:rPr>
          <w:rFonts w:ascii="宋体" w:cs="宋体" w:hint="eastAsia"/>
          <w:sz w:val="24"/>
          <w:highlight w:val="auto"/>
        </w:rPr>
      </w:pPr>
      <w:r>
        <w:rPr>
          <w:rFonts w:ascii="宋体" w:cs="宋体" w:hint="eastAsia"/>
          <w:sz w:val="24"/>
          <w:highlight w:val="auto"/>
        </w:rPr>
        <w:t>4.6</w:t>
        <w:tab/>
        <w:t>现场培训：仪器在安装调试同时，中标供应商负责派工程师对采购人就仪器原理和基本操作进行现场培训，培训人员人数不限，培训时间视采购人需要，原则上不少于2天，确保采购人能正常操作；此项不额外收费。</w:t>
      </w:r>
    </w:p>
    <w:p>
      <w:pPr>
        <w:pStyle w:val="15"/>
        <w:spacing w:line="400" w:lineRule="exact"/>
        <w:rPr>
          <w:rFonts w:ascii="宋体" w:cs="宋体" w:hint="eastAsia"/>
          <w:sz w:val="24"/>
          <w:highlight w:val="auto"/>
        </w:rPr>
      </w:pPr>
      <w:r>
        <w:rPr>
          <w:rFonts w:ascii="宋体" w:cs="宋体" w:hint="eastAsia"/>
          <w:sz w:val="24"/>
          <w:highlight w:val="auto"/>
        </w:rPr>
        <w:t>4.7   中标供应商中标后在四川成都设有投标设备维修点及配置有足够的具备维护能力的售后服务人员。供应商在质量保证期内提供每年1次设备厂家校正服务，不额外收费。</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5.涉及的商品包装和快递包装，均应符合《商品包装政府采购需求标准（试行）》《快递包装政府采购需求标准（试行）》的要求，包装应适应于远距离运输、防潮、防震、防锈和防野蛮装卸，以确保货物安全无损运抵指定地点。</w:t>
      </w:r>
    </w:p>
    <w:p>
      <w:pPr>
        <w:pStyle w:val="15"/>
        <w:spacing w:line="400" w:lineRule="exact"/>
        <w:outlineLvl w:val="2"/>
        <w:rPr>
          <w:rFonts w:ascii="宋体" w:cs="宋体" w:hint="eastAsia"/>
          <w:b/>
          <w:bCs/>
          <w:sz w:val="24"/>
          <w:highlight w:val="auto"/>
        </w:rPr>
      </w:pPr>
      <w:r>
        <w:rPr>
          <w:rFonts w:ascii="宋体" w:cs="宋体" w:hint="eastAsia"/>
          <w:b/>
          <w:bCs/>
          <w:sz w:val="24"/>
          <w:highlight w:val="auto"/>
        </w:rPr>
        <w:t>03包：</w:t>
      </w:r>
    </w:p>
    <w:p>
      <w:pPr>
        <w:spacing w:line="500" w:lineRule="exact"/>
        <w:rPr>
          <w:rFonts w:ascii="宋体" w:cs="宋体" w:hint="eastAsia"/>
          <w:bCs/>
          <w:sz w:val="24"/>
          <w:highlight w:val="auto"/>
        </w:rPr>
      </w:pPr>
      <w:r>
        <w:rPr>
          <w:rFonts w:ascii="宋体" w:cs="宋体" w:hint="eastAsia"/>
          <w:bCs/>
          <w:sz w:val="24"/>
          <w:highlight w:val="auto"/>
        </w:rPr>
        <w:t>1.交货期及地点</w:t>
      </w:r>
    </w:p>
    <w:p>
      <w:pPr>
        <w:spacing w:line="360" w:lineRule="auto"/>
        <w:rPr>
          <w:rFonts w:ascii="宋体" w:cs="宋体" w:hint="eastAsia"/>
          <w:bCs/>
          <w:snapToGrid w:val="0"/>
          <w:kern w:val="21"/>
          <w:sz w:val="24"/>
          <w:highlight w:val="auto"/>
        </w:rPr>
      </w:pPr>
      <w:r>
        <w:rPr>
          <w:rFonts w:ascii="宋体" w:cs="宋体" w:hint="eastAsia"/>
          <w:sz w:val="24"/>
          <w:highlight w:val="auto"/>
        </w:rPr>
        <w:t>1.1交货期：</w:t>
      </w:r>
    </w:p>
    <w:p>
      <w:pPr>
        <w:spacing w:line="520" w:lineRule="exact"/>
        <w:rPr>
          <w:rFonts w:ascii="宋体" w:cs="宋体" w:hint="eastAsia"/>
          <w:sz w:val="24"/>
          <w:highlight w:val="auto"/>
        </w:rPr>
      </w:pPr>
      <w:r>
        <w:rPr>
          <w:rFonts w:ascii="宋体" w:cs="宋体" w:hint="eastAsia"/>
          <w:bCs/>
          <w:snapToGrid w:val="0"/>
          <w:kern w:val="21"/>
          <w:sz w:val="24"/>
          <w:highlight w:val="auto"/>
        </w:rPr>
        <w:t>合同签订后30日内将货物送至（采购人指定地点）交付（采购人指定收货人）。中标供应商应在交货前向采购人提供交货计划；运输保险和装箱的费用由中标供应商承担</w:t>
      </w:r>
      <w:r>
        <w:rPr>
          <w:rFonts w:ascii="宋体" w:cs="宋体" w:hint="eastAsia"/>
          <w:bCs/>
          <w:sz w:val="24"/>
          <w:highlight w:val="auto"/>
        </w:rPr>
        <w:t>。</w:t>
      </w:r>
    </w:p>
    <w:p>
      <w:pPr>
        <w:spacing w:line="520" w:lineRule="exact"/>
        <w:rPr>
          <w:rFonts w:ascii="宋体" w:cs="宋体" w:hint="eastAsia"/>
          <w:bCs/>
          <w:snapToGrid w:val="0"/>
          <w:kern w:val="21"/>
          <w:sz w:val="24"/>
          <w:highlight w:val="auto"/>
        </w:rPr>
      </w:pPr>
      <w:r>
        <w:rPr>
          <w:rFonts w:ascii="宋体" w:cs="宋体" w:hint="eastAsia"/>
          <w:sz w:val="24"/>
          <w:highlight w:val="auto"/>
        </w:rPr>
        <w:t>1.2交货地点：</w:t>
      </w:r>
      <w:r>
        <w:rPr>
          <w:rFonts w:ascii="宋体" w:cs="宋体" w:hint="eastAsia"/>
          <w:bCs/>
          <w:snapToGrid w:val="0"/>
          <w:kern w:val="21"/>
          <w:sz w:val="24"/>
          <w:highlight w:val="auto"/>
        </w:rPr>
        <w:t>交货至四川省成都市武侯区桐梓林北路1号四川国际旅行卫生保健中心(成都海关口岸门诊部)。联系人：张琴，联系方式：13550264166。</w:t>
      </w:r>
    </w:p>
    <w:p>
      <w:pPr>
        <w:spacing w:line="520" w:lineRule="exact"/>
        <w:rPr>
          <w:rFonts w:ascii="宋体" w:cs="宋体"/>
          <w:sz w:val="24"/>
          <w:highlight w:val="auto"/>
        </w:rPr>
      </w:pPr>
      <w:r>
        <w:rPr>
          <w:rFonts w:ascii="宋体" w:cs="宋体" w:hint="eastAsia"/>
          <w:sz w:val="24"/>
          <w:highlight w:val="auto"/>
        </w:rPr>
        <w:t>2.付款方法和条件：</w:t>
      </w:r>
    </w:p>
    <w:p>
      <w:pPr>
        <w:spacing w:line="520" w:lineRule="exact"/>
        <w:rPr>
          <w:rFonts w:ascii="宋体" w:cs="宋体"/>
          <w:sz w:val="24"/>
          <w:highlight w:val="auto"/>
        </w:rPr>
      </w:pPr>
      <w:r>
        <w:rPr>
          <w:rFonts w:ascii="宋体" w:cs="宋体" w:hint="eastAsia"/>
          <w:sz w:val="24"/>
          <w:highlight w:val="auto"/>
        </w:rPr>
        <w:t>2.1合同签订后，采购人根据资金情况通知中标人开具增值税专用票，中标人向采购人提供对应合同价款的增值税专用发票（按国家相关规定无法开具的除外）后10个工作日内，支付合同金额的30%；中标人产品到货后，采购人根据资金情况通知中标人开具增值税专用票，中标人向采购人提供对应合同价款的增值税专用发票（按国家相关规定无法开具的除外）后10个工作日内，支付合同金额的60%；产品经采购人验收合格后，采购人根据资金情况通知中标人开具增值税专用票，中标人向采购人提供对应合同价款的增值税专用发票（按国家相关规定无法开具的除外），采购人在财政资金可以支付且收到发票后10个工作日内向中标人支付合同金额10%。</w:t>
      </w:r>
    </w:p>
    <w:p>
      <w:pPr>
        <w:spacing w:line="520" w:lineRule="exact"/>
        <w:rPr>
          <w:rFonts w:ascii="宋体" w:cs="宋体"/>
          <w:sz w:val="24"/>
          <w:highlight w:val="auto"/>
        </w:rPr>
      </w:pPr>
      <w:r>
        <w:rPr>
          <w:rFonts w:ascii="宋体" w:cs="宋体" w:hint="eastAsia"/>
          <w:sz w:val="24"/>
          <w:highlight w:val="auto"/>
        </w:rPr>
        <w:t>2.2因财政集中支付延误时间不计算在内，中标人提交付款单据迟延或缺失的，采购人有权相应顺延付款期限。</w:t>
      </w:r>
    </w:p>
    <w:p>
      <w:pPr>
        <w:pStyle w:val="15"/>
        <w:spacing w:line="400" w:lineRule="exact"/>
        <w:ind w:firstLineChars="0" w:firstLine="0"/>
        <w:rPr>
          <w:rFonts w:ascii="宋体" w:cs="宋体"/>
          <w:sz w:val="24"/>
          <w:highlight w:val="auto"/>
        </w:rPr>
      </w:pPr>
      <w:r>
        <w:rPr>
          <w:rFonts w:ascii="宋体" w:cs="宋体" w:hint="eastAsia"/>
          <w:sz w:val="24"/>
          <w:highlight w:val="auto"/>
        </w:rPr>
        <w:t>3.履约验收：</w:t>
      </w:r>
    </w:p>
    <w:p>
      <w:pPr>
        <w:pStyle w:val="15"/>
        <w:spacing w:line="400" w:lineRule="exact"/>
        <w:ind w:firstLineChars="0" w:firstLine="0"/>
        <w:rPr>
          <w:rFonts w:ascii="宋体" w:cs="宋体"/>
          <w:sz w:val="24"/>
          <w:highlight w:val="auto"/>
        </w:rPr>
      </w:pPr>
      <w:r>
        <w:rPr>
          <w:rFonts w:ascii="宋体" w:cs="宋体" w:hint="eastAsia"/>
          <w:sz w:val="24"/>
          <w:highlight w:val="auto"/>
        </w:rPr>
        <w:t>3.1履约验收主体：四川国际旅行卫生保健中心（成都海关口岸门诊部）</w:t>
      </w:r>
    </w:p>
    <w:p>
      <w:pPr>
        <w:pStyle w:val="15"/>
        <w:spacing w:line="400" w:lineRule="exact"/>
        <w:ind w:firstLineChars="0" w:firstLine="0"/>
        <w:rPr>
          <w:rFonts w:ascii="宋体" w:cs="宋体"/>
          <w:sz w:val="24"/>
          <w:highlight w:val="auto"/>
        </w:rPr>
      </w:pPr>
      <w:r>
        <w:rPr>
          <w:rFonts w:ascii="宋体" w:cs="宋体" w:hint="eastAsia"/>
          <w:sz w:val="24"/>
          <w:highlight w:val="auto"/>
        </w:rPr>
        <w:t>3.2履约验收时间：供应商提出验收申请之日起10日内组织验收</w:t>
      </w:r>
    </w:p>
    <w:p>
      <w:pPr>
        <w:pStyle w:val="15"/>
        <w:spacing w:line="400" w:lineRule="exact"/>
        <w:ind w:firstLineChars="0" w:firstLine="0"/>
        <w:rPr>
          <w:rFonts w:ascii="宋体" w:cs="宋体"/>
          <w:sz w:val="24"/>
          <w:highlight w:val="auto"/>
        </w:rPr>
      </w:pPr>
      <w:r>
        <w:rPr>
          <w:rFonts w:ascii="宋体" w:cs="宋体" w:hint="eastAsia"/>
          <w:sz w:val="24"/>
          <w:highlight w:val="auto"/>
        </w:rPr>
        <w:t>3.3验收组织方式：自行验收</w:t>
      </w:r>
    </w:p>
    <w:p>
      <w:pPr>
        <w:pStyle w:val="15"/>
        <w:spacing w:line="400" w:lineRule="exact"/>
        <w:ind w:firstLineChars="0" w:firstLine="0"/>
        <w:rPr>
          <w:rFonts w:ascii="宋体" w:cs="宋体"/>
          <w:sz w:val="24"/>
          <w:highlight w:val="auto"/>
        </w:rPr>
      </w:pPr>
      <w:r>
        <w:rPr>
          <w:rFonts w:ascii="宋体" w:cs="宋体" w:hint="eastAsia"/>
          <w:sz w:val="24"/>
          <w:highlight w:val="auto"/>
        </w:rPr>
        <w:t>3.4履约验收程序：一次性验收</w:t>
      </w:r>
    </w:p>
    <w:p>
      <w:pPr>
        <w:pStyle w:val="15"/>
        <w:spacing w:line="400" w:lineRule="exact"/>
        <w:ind w:firstLineChars="0" w:firstLine="0"/>
        <w:rPr>
          <w:rFonts w:ascii="宋体" w:cs="宋体"/>
          <w:sz w:val="24"/>
          <w:highlight w:val="auto"/>
        </w:rPr>
      </w:pPr>
      <w:r>
        <w:rPr>
          <w:rFonts w:ascii="宋体" w:cs="宋体" w:hint="eastAsia"/>
          <w:sz w:val="24"/>
          <w:highlight w:val="auto"/>
        </w:rPr>
        <w:t>3.5技术履约验收内容：按照本项目招标文件中“技术参数要求”及中标人投标文件进行验收。</w:t>
      </w:r>
    </w:p>
    <w:p>
      <w:pPr>
        <w:pStyle w:val="15"/>
        <w:spacing w:line="400" w:lineRule="exact"/>
        <w:ind w:firstLineChars="0" w:firstLine="0"/>
        <w:rPr>
          <w:rFonts w:ascii="宋体" w:cs="宋体"/>
          <w:sz w:val="24"/>
          <w:highlight w:val="auto"/>
        </w:rPr>
      </w:pPr>
      <w:r>
        <w:rPr>
          <w:rFonts w:ascii="宋体" w:cs="宋体" w:hint="eastAsia"/>
          <w:sz w:val="24"/>
          <w:highlight w:val="auto"/>
        </w:rPr>
        <w:t>3.6商务履约验收内容：按照本项目招标文件中“商务要求”及中标人投标文件进行验收。</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3.7履约验收标准：按国家相关文件进行验收，需提供合格证、中文标签、仪器说明书、发货清单、仪器安装报告、培训报告、仪器性能验证报告。按照应标的技术参数进行逐条验收，直至验收合格。</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 xml:space="preserve">3.8履约验收其他事项：（1）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采购人提供完整的设备技术资料、货物制造商的出厂检验报告、合格证书、产品保证书、认证书、及说明书等， 保证产品和安装材料是新生产、未经过使用的原装原厂正品。 如在交付使用前发生设备损坏和不合格，采购人有权要求退货，因此造成的一切损失由供应商承担。（4）中标供应商根据合同要求进行系统安装、调试后，由采购人进行使用性能方面的验收，确保在使用过程内具有满意的性能。如质量不符合要求，供应商应无条件及时更换并不得以任何原因拖延。 （5）采购人根据招标文件、中标供应商的投标文件、合同、制造厂商的产品验收标准及中华人民共和国有关标准进行验收。采购人有权委托国家认可的第三方检测机构对设备的灵敏度、 测量精度等技术性能进行验收。因中标供应商所提供的产品未达到招标文件中技术性能指标的，一律拒收，不予付款，采购人有权因此终止合同的执行，中标商将自行承担所有经济损失；同时，采购人将保留向中标供应商因设备延迟到位而造成对口岸检验业务的不良影响追索相应"违约"责任的权利；（6）质保期产品安装调试经采购人验收合格当天起，质保期≥5年，并提供仪器终身维修服务。 </w:t>
      </w:r>
    </w:p>
    <w:p>
      <w:pPr>
        <w:pStyle w:val="15"/>
        <w:spacing w:line="400" w:lineRule="exact"/>
        <w:ind w:firstLineChars="0" w:firstLine="0"/>
        <w:rPr>
          <w:rFonts w:ascii="宋体" w:cs="宋体"/>
          <w:sz w:val="24"/>
          <w:highlight w:val="auto"/>
        </w:rPr>
      </w:pPr>
      <w:r>
        <w:rPr>
          <w:rFonts w:ascii="宋体" w:cs="宋体" w:hint="eastAsia"/>
          <w:sz w:val="24"/>
          <w:highlight w:val="auto"/>
        </w:rPr>
        <w:t>4.售后服务要求</w:t>
      </w:r>
    </w:p>
    <w:p>
      <w:pPr>
        <w:pStyle w:val="15"/>
        <w:spacing w:line="400" w:lineRule="exact"/>
        <w:rPr>
          <w:rFonts w:ascii="宋体" w:cs="宋体" w:hint="eastAsia"/>
          <w:sz w:val="24"/>
          <w:highlight w:val="auto"/>
        </w:rPr>
      </w:pPr>
      <w:r>
        <w:rPr>
          <w:rFonts w:ascii="宋体" w:cs="宋体" w:hint="eastAsia"/>
          <w:sz w:val="24"/>
          <w:highlight w:val="auto"/>
        </w:rPr>
        <w:t>4.1</w:t>
        <w:tab/>
        <w:t>中标供应商应提供原产商质量保证和售后服务承诺书。在质保期内，产品因故障停用，质保期相应顺延。在质量保证期内设备发生故障，中标供应商应提供原厂商售后维修和更换零件服务，不额外收费。质保期后，中标供应商提供设备终身技术支持，包括故障排除和零配件的供应、仪器软件升级和培训，不外收费：设备出现故障需更换配件时，只收取零配件费用，免收其它费用。合同签订后，在1周内中标供应商将仪器操作间的装修要求和水、电、气要求通知采购人。</w:t>
      </w:r>
    </w:p>
    <w:p>
      <w:pPr>
        <w:pStyle w:val="15"/>
        <w:spacing w:line="400" w:lineRule="exact"/>
        <w:rPr>
          <w:rFonts w:ascii="宋体" w:cs="宋体" w:hint="eastAsia"/>
          <w:sz w:val="24"/>
          <w:highlight w:val="auto"/>
        </w:rPr>
      </w:pPr>
      <w:r>
        <w:rPr>
          <w:rFonts w:ascii="宋体" w:cs="宋体" w:hint="eastAsia"/>
          <w:sz w:val="24"/>
          <w:highlight w:val="auto"/>
        </w:rPr>
        <w:t>4.2</w:t>
        <w:tab/>
        <w:t>中标供应商负责将设备运至采购人指定的地点，负责安装，现场培训及技术应用培训，不额外收费。中标价应包含产品的制造 、材料费（主材及辅材）、运输、安装、验收、保修、税收、 所有手续费等直至验收合格交付采购人使用的所有相关费用 。中标价格在中标后的合同实施期间应保持不变，即不因市场价格或政策性价格的调整而增减（若因中标人责任而导致的采购人依据合同条款对中标人的扣款处罚除外）。</w:t>
      </w:r>
    </w:p>
    <w:p>
      <w:pPr>
        <w:pStyle w:val="15"/>
        <w:spacing w:line="400" w:lineRule="exact"/>
        <w:rPr>
          <w:rFonts w:ascii="宋体" w:cs="宋体" w:hint="eastAsia"/>
          <w:sz w:val="24"/>
          <w:highlight w:val="auto"/>
        </w:rPr>
      </w:pPr>
      <w:r>
        <w:rPr>
          <w:rFonts w:ascii="宋体" w:cs="宋体" w:hint="eastAsia"/>
          <w:sz w:val="24"/>
          <w:highlight w:val="auto"/>
        </w:rPr>
        <w:t>4.3</w:t>
        <w:tab/>
        <w:t>货到后，中标供应商负责派技术人员到现场进行安装、调试，并应配合按照应标的技术参数进行逐条验收，直至验收合格。</w:t>
      </w:r>
    </w:p>
    <w:p>
      <w:pPr>
        <w:pStyle w:val="15"/>
        <w:spacing w:line="400" w:lineRule="exact"/>
        <w:rPr>
          <w:rFonts w:ascii="宋体" w:cs="宋体" w:hint="eastAsia"/>
          <w:sz w:val="24"/>
          <w:highlight w:val="auto"/>
        </w:rPr>
      </w:pPr>
      <w:r>
        <w:rPr>
          <w:rFonts w:ascii="宋体" w:cs="宋体" w:hint="eastAsia"/>
          <w:sz w:val="24"/>
          <w:highlight w:val="auto"/>
        </w:rPr>
        <w:t>4.4</w:t>
        <w:tab/>
        <w:t>中标供应商为实验室LIMS系统与仪器进行双向联接，不额外收费。</w:t>
      </w:r>
    </w:p>
    <w:p>
      <w:pPr>
        <w:pStyle w:val="15"/>
        <w:spacing w:line="400" w:lineRule="exact"/>
        <w:rPr>
          <w:rFonts w:ascii="宋体" w:cs="宋体" w:hint="eastAsia"/>
          <w:sz w:val="24"/>
          <w:highlight w:val="auto"/>
        </w:rPr>
      </w:pPr>
      <w:r>
        <w:rPr>
          <w:rFonts w:ascii="宋体" w:cs="宋体" w:hint="eastAsia"/>
          <w:sz w:val="24"/>
          <w:highlight w:val="auto"/>
        </w:rPr>
        <w:t>4.5   中标供应商能响应故障处理请求和电话咨询，提供7x24小时技术支持，2小时内响应和24小时内提出解决方案，一般应在 48小时内派人到现场维修的售后服务。中标供应商应提供维保人员名单、联系电话。</w:t>
      </w:r>
    </w:p>
    <w:p>
      <w:pPr>
        <w:pStyle w:val="15"/>
        <w:spacing w:line="400" w:lineRule="exact"/>
        <w:rPr>
          <w:rFonts w:ascii="宋体" w:cs="宋体" w:hint="eastAsia"/>
          <w:sz w:val="24"/>
          <w:highlight w:val="auto"/>
        </w:rPr>
      </w:pPr>
      <w:r>
        <w:rPr>
          <w:rFonts w:ascii="宋体" w:cs="宋体" w:hint="eastAsia"/>
          <w:sz w:val="24"/>
          <w:highlight w:val="auto"/>
        </w:rPr>
        <w:t>4.6</w:t>
        <w:tab/>
        <w:t>现场培训：仪器在安装调试同时，中标供应商负责派工程师对采购人就仪器原理和基本操作进行现场培训，培训人员人数不限，培训时间视采购人需要，原则上不少于2天，确保采购人能正常操作；此项不额外收费。</w:t>
      </w:r>
    </w:p>
    <w:p>
      <w:pPr>
        <w:pStyle w:val="15"/>
        <w:spacing w:line="400" w:lineRule="exact"/>
        <w:rPr>
          <w:rFonts w:ascii="宋体" w:cs="宋体" w:hint="eastAsia"/>
          <w:sz w:val="24"/>
          <w:highlight w:val="auto"/>
        </w:rPr>
      </w:pPr>
      <w:r>
        <w:rPr>
          <w:rFonts w:ascii="宋体" w:cs="宋体" w:hint="eastAsia"/>
          <w:sz w:val="24"/>
          <w:highlight w:val="auto"/>
        </w:rPr>
        <w:t>4.7   中标供应商中标后在四川成都设有投标设备维修点及配置有足够的具备维护能力的售后服务人员。供应商在质量保证期内提供每年1次设备厂家校正服务，不额外收费。</w:t>
      </w:r>
    </w:p>
    <w:p>
      <w:pPr>
        <w:pStyle w:val="15"/>
        <w:spacing w:line="400" w:lineRule="exact"/>
        <w:ind w:firstLineChars="0" w:firstLine="0"/>
        <w:rPr>
          <w:highlight w:val="auto"/>
        </w:rPr>
      </w:pPr>
      <w:r>
        <w:rPr>
          <w:rFonts w:ascii="宋体" w:cs="宋体" w:hint="eastAsia"/>
          <w:sz w:val="24"/>
          <w:highlight w:val="auto"/>
        </w:rPr>
        <w:t>5.涉及的商品包装和快递包装，均应符合《商品包装政府采购需求标准（试行）》《快递包装政府采购需求标准（试行）》的要求，包装应适应于远距离运输、防潮、防震、防锈和防野蛮装卸，以确保货物安全无损运抵指定地点。</w:t>
      </w:r>
    </w:p>
    <w:p>
      <w:pPr>
        <w:pStyle w:val="2"/>
        <w:spacing w:line="400" w:lineRule="exact"/>
        <w:ind w:firstLineChars="98" w:firstLine="235"/>
        <w:rPr>
          <w:rFonts w:ascii="宋体" w:eastAsia="宋体" w:cs="宋体" w:hint="eastAsia"/>
          <w:sz w:val="24"/>
          <w:szCs w:val="24"/>
          <w:highlight w:val="auto"/>
        </w:rPr>
      </w:pPr>
      <w:r>
        <w:rPr>
          <w:rFonts w:ascii="宋体" w:eastAsia="宋体" w:cs="宋体" w:hint="eastAsia"/>
          <w:sz w:val="24"/>
          <w:szCs w:val="24"/>
          <w:highlight w:val="auto"/>
        </w:rPr>
        <w:t>（三）技术参数要求</w:t>
      </w:r>
      <w:bookmarkEnd w:id="1"/>
    </w:p>
    <w:p>
      <w:pPr>
        <w:pStyle w:val="15"/>
        <w:spacing w:line="400" w:lineRule="exact"/>
        <w:outlineLvl w:val="2"/>
        <w:rPr>
          <w:rFonts w:ascii="宋体" w:cs="宋体"/>
          <w:b/>
          <w:bCs/>
          <w:sz w:val="24"/>
          <w:highlight w:val="auto"/>
        </w:rPr>
      </w:pPr>
      <w:r>
        <w:rPr>
          <w:rFonts w:ascii="宋体" w:cs="宋体" w:hint="eastAsia"/>
          <w:b/>
          <w:bCs/>
          <w:sz w:val="24"/>
          <w:highlight w:val="auto"/>
        </w:rPr>
        <w:t>01包：</w:t>
      </w:r>
    </w:p>
    <w:p>
      <w:pPr>
        <w:pStyle w:val="15"/>
        <w:spacing w:line="400" w:lineRule="exact"/>
        <w:outlineLvl w:val="2"/>
        <w:rPr>
          <w:rFonts w:ascii="宋体" w:cs="宋体" w:hint="eastAsia"/>
          <w:b/>
          <w:bCs/>
          <w:sz w:val="24"/>
          <w:highlight w:val="auto"/>
        </w:rPr>
      </w:pPr>
      <w:r>
        <w:rPr>
          <w:rFonts w:ascii="宋体" w:cs="宋体" w:hint="eastAsia"/>
          <w:b/>
          <w:bCs/>
          <w:sz w:val="24"/>
          <w:highlight w:val="auto"/>
        </w:rPr>
        <w:t>1、高压灭菌器</w:t>
      </w:r>
    </w:p>
    <w:p>
      <w:pPr>
        <w:pStyle w:val="15"/>
        <w:spacing w:line="400" w:lineRule="exact"/>
        <w:rPr>
          <w:rFonts w:ascii="宋体" w:cs="宋体" w:hint="eastAsia"/>
          <w:sz w:val="24"/>
          <w:highlight w:val="auto"/>
        </w:rPr>
      </w:pPr>
      <w:r>
        <w:rPr>
          <w:rFonts w:ascii="宋体" w:cs="宋体"/>
          <w:sz w:val="24"/>
          <w:highlight w:val="auto"/>
        </w:rPr>
        <w:t>★</w:t>
      </w:r>
      <w:r>
        <w:rPr>
          <w:rFonts w:ascii="宋体" w:cs="宋体" w:hint="eastAsia"/>
          <w:sz w:val="24"/>
          <w:highlight w:val="auto"/>
        </w:rPr>
        <w:t>1.供应商交货时须向采购人出示有效的《特种设备生产许可证》（压力容器）。</w:t>
      </w:r>
    </w:p>
    <w:p>
      <w:pPr>
        <w:pStyle w:val="15"/>
        <w:spacing w:line="400" w:lineRule="exact"/>
        <w:rPr>
          <w:rFonts w:ascii="宋体" w:cs="宋体" w:hint="eastAsia"/>
          <w:sz w:val="24"/>
          <w:highlight w:val="auto"/>
        </w:rPr>
      </w:pPr>
      <w:r>
        <w:rPr>
          <w:rFonts w:ascii="宋体" w:cs="宋体"/>
          <w:sz w:val="24"/>
          <w:highlight w:val="auto"/>
        </w:rPr>
        <w:t>★</w:t>
      </w:r>
      <w:r>
        <w:rPr>
          <w:rFonts w:ascii="宋体" w:cs="宋体" w:hint="eastAsia"/>
          <w:sz w:val="24"/>
          <w:highlight w:val="auto"/>
        </w:rPr>
        <w:t>2.主要用途：高压消毒灭菌处理。</w:t>
      </w:r>
    </w:p>
    <w:p>
      <w:pPr>
        <w:pStyle w:val="15"/>
        <w:spacing w:line="400" w:lineRule="exact"/>
        <w:rPr>
          <w:rFonts w:ascii="宋体" w:cs="宋体" w:hint="eastAsia"/>
          <w:sz w:val="24"/>
          <w:highlight w:val="auto"/>
        </w:rPr>
      </w:pPr>
      <w:r>
        <w:rPr>
          <w:rFonts w:ascii="宋体" w:cs="宋体" w:hint="eastAsia"/>
          <w:sz w:val="24"/>
          <w:highlight w:val="auto"/>
        </w:rPr>
        <w:t>3.技术参数要求：</w:t>
      </w:r>
    </w:p>
    <w:p>
      <w:pPr>
        <w:pStyle w:val="15"/>
        <w:spacing w:line="400" w:lineRule="exact"/>
        <w:rPr>
          <w:rFonts w:ascii="宋体" w:cs="宋体"/>
          <w:sz w:val="24"/>
          <w:highlight w:val="auto"/>
        </w:rPr>
      </w:pPr>
      <w:r>
        <w:rPr>
          <w:rFonts w:ascii="宋体" w:cs="宋体"/>
          <w:sz w:val="24"/>
          <w:highlight w:val="auto"/>
        </w:rPr>
        <w:t>★</w:t>
        <w:tab/>
        <w:t>3.1</w:t>
        <w:tab/>
        <w:t>容积≥80升，立式结构。内腔直径≥400mm。</w:t>
      </w:r>
    </w:p>
    <w:p>
      <w:pPr>
        <w:pStyle w:val="15"/>
        <w:spacing w:line="400" w:lineRule="exact"/>
        <w:rPr>
          <w:rFonts w:ascii="宋体" w:cs="宋体"/>
          <w:sz w:val="24"/>
          <w:highlight w:val="auto"/>
        </w:rPr>
      </w:pPr>
      <w:r>
        <w:rPr>
          <w:rFonts w:ascii="宋体" w:cs="宋体"/>
          <w:sz w:val="24"/>
          <w:highlight w:val="auto"/>
        </w:rPr>
        <w:t>★</w:t>
        <w:tab/>
        <w:t>3.2</w:t>
        <w:tab/>
        <w:t>生物安全排气过滤器：带有不大于0.2μm孔径的排气过滤器，升温排冷空气可以将气溶胶、冷凝水可都拦截在灭菌腔内进行灭菌。</w:t>
      </w:r>
    </w:p>
    <w:p>
      <w:pPr>
        <w:pStyle w:val="15"/>
        <w:spacing w:line="400" w:lineRule="exact"/>
        <w:rPr>
          <w:rFonts w:ascii="宋体" w:cs="宋体"/>
          <w:sz w:val="24"/>
          <w:highlight w:val="auto"/>
        </w:rPr>
      </w:pPr>
      <w:r>
        <w:rPr>
          <w:rFonts w:ascii="宋体" w:cs="宋体"/>
          <w:sz w:val="24"/>
          <w:highlight w:val="auto"/>
        </w:rPr>
        <w:t>▲</w:t>
        <w:tab/>
        <w:t>3.3</w:t>
        <w:tab/>
        <w:t>生物安全排气过滤器灭菌：在灭菌器灭菌时可以对过滤器进行同步灭菌，同时必须保证过滤器的灭菌温度和时间与灭菌物的灭菌温度和时间一致。</w:t>
      </w:r>
    </w:p>
    <w:p>
      <w:pPr>
        <w:pStyle w:val="15"/>
        <w:spacing w:line="400" w:lineRule="exact"/>
        <w:rPr>
          <w:rFonts w:ascii="宋体" w:cs="宋体"/>
          <w:sz w:val="24"/>
          <w:highlight w:val="auto"/>
        </w:rPr>
      </w:pPr>
      <w:r>
        <w:rPr>
          <w:rFonts w:ascii="宋体" w:cs="宋体"/>
          <w:sz w:val="24"/>
          <w:highlight w:val="auto"/>
        </w:rPr>
        <w:t>★</w:t>
        <w:tab/>
        <w:t>3.4</w:t>
        <w:tab/>
        <w:t>灭菌温度：最高灭菌温度可达135℃，安全阀起跳压力可达 0.22Mpa以上，灭菌定时0-250分钟。</w:t>
      </w:r>
    </w:p>
    <w:p>
      <w:pPr>
        <w:pStyle w:val="15"/>
        <w:spacing w:line="400" w:lineRule="exact"/>
        <w:rPr>
          <w:rFonts w:ascii="宋体" w:cs="宋体"/>
          <w:sz w:val="24"/>
          <w:highlight w:val="auto"/>
        </w:rPr>
      </w:pPr>
      <w:r>
        <w:rPr>
          <w:rFonts w:ascii="宋体" w:cs="宋体"/>
          <w:sz w:val="24"/>
          <w:highlight w:val="auto"/>
        </w:rPr>
        <w:tab/>
        <w:t>3.5</w:t>
        <w:tab/>
        <w:t>压力盖机构：手动上下翻盖开启式（附有3重安全锁定装置）。</w:t>
      </w:r>
    </w:p>
    <w:p>
      <w:pPr>
        <w:pStyle w:val="15"/>
        <w:spacing w:line="400" w:lineRule="exact"/>
        <w:rPr>
          <w:rFonts w:ascii="宋体" w:cs="宋体"/>
          <w:sz w:val="24"/>
          <w:highlight w:val="auto"/>
        </w:rPr>
      </w:pPr>
      <w:r>
        <w:rPr>
          <w:rFonts w:ascii="宋体" w:cs="宋体"/>
          <w:sz w:val="24"/>
          <w:highlight w:val="auto"/>
        </w:rPr>
        <w:tab/>
        <w:t>3.6</w:t>
        <w:tab/>
        <w:t>排汽系统：在保证液体培养基不暴沸的前提下，加速腔内排汽，使灭菌腔更快地冷却下来。</w:t>
      </w:r>
    </w:p>
    <w:p>
      <w:pPr>
        <w:pStyle w:val="15"/>
        <w:spacing w:line="400" w:lineRule="exact"/>
        <w:rPr>
          <w:rFonts w:ascii="宋体" w:cs="宋体"/>
          <w:sz w:val="24"/>
          <w:highlight w:val="auto"/>
        </w:rPr>
      </w:pPr>
      <w:r>
        <w:rPr>
          <w:rFonts w:ascii="宋体" w:cs="宋体"/>
          <w:sz w:val="24"/>
          <w:highlight w:val="auto"/>
        </w:rPr>
        <w:t>▲</w:t>
        <w:tab/>
        <w:t>3.7</w:t>
        <w:tab/>
        <w:t>自动干燥：带自动进水，自动干燥功能，屏幕可显示腔底水位，灭菌结束自动启动干燥。</w:t>
      </w:r>
    </w:p>
    <w:p>
      <w:pPr>
        <w:pStyle w:val="15"/>
        <w:spacing w:line="400" w:lineRule="exact"/>
        <w:rPr>
          <w:rFonts w:ascii="宋体" w:cs="宋体"/>
          <w:sz w:val="24"/>
          <w:highlight w:val="auto"/>
        </w:rPr>
      </w:pPr>
      <w:r>
        <w:rPr>
          <w:rFonts w:ascii="宋体" w:cs="宋体"/>
          <w:sz w:val="24"/>
          <w:highlight w:val="auto"/>
        </w:rPr>
        <w:tab/>
        <w:t>3.8</w:t>
        <w:tab/>
        <w:t>通过灭菌模式选择实现</w:t>
      </w:r>
      <w:r>
        <w:rPr>
          <w:rFonts w:ascii="宋体" w:cs="宋体" w:hint="eastAsia"/>
          <w:sz w:val="24"/>
          <w:highlight w:val="auto"/>
        </w:rPr>
        <w:t>：</w:t>
      </w:r>
      <w:r>
        <w:rPr>
          <w:rFonts w:ascii="宋体" w:cs="宋体"/>
          <w:sz w:val="24"/>
          <w:highlight w:val="auto"/>
        </w:rPr>
        <w:t>琼脂培养基灭菌</w:t>
      </w:r>
      <w:r>
        <w:rPr>
          <w:rFonts w:ascii="宋体" w:cs="宋体" w:hint="eastAsia"/>
          <w:sz w:val="24"/>
          <w:highlight w:val="auto"/>
        </w:rPr>
        <w:t>、</w:t>
      </w:r>
      <w:r>
        <w:rPr>
          <w:rFonts w:ascii="宋体" w:cs="宋体"/>
          <w:sz w:val="24"/>
          <w:highlight w:val="auto"/>
        </w:rPr>
        <w:t>液体培养基灭菌</w:t>
      </w:r>
      <w:r>
        <w:rPr>
          <w:rFonts w:ascii="宋体" w:cs="宋体" w:hint="eastAsia"/>
          <w:sz w:val="24"/>
          <w:highlight w:val="auto"/>
        </w:rPr>
        <w:t>、</w:t>
      </w:r>
      <w:r>
        <w:rPr>
          <w:rFonts w:ascii="宋体" w:cs="宋体"/>
          <w:sz w:val="24"/>
          <w:highlight w:val="auto"/>
        </w:rPr>
        <w:t>固体/医疗器皿灭菌</w:t>
      </w:r>
      <w:r>
        <w:rPr>
          <w:rFonts w:ascii="宋体" w:cs="宋体" w:hint="eastAsia"/>
          <w:sz w:val="24"/>
          <w:highlight w:val="auto"/>
        </w:rPr>
        <w:t>、</w:t>
      </w:r>
      <w:r>
        <w:rPr>
          <w:rFonts w:ascii="宋体" w:cs="宋体"/>
          <w:sz w:val="24"/>
          <w:highlight w:val="auto"/>
        </w:rPr>
        <w:t>琼脂溶解或预热。</w:t>
      </w:r>
    </w:p>
    <w:p>
      <w:pPr>
        <w:pStyle w:val="15"/>
        <w:spacing w:line="400" w:lineRule="exact"/>
        <w:rPr>
          <w:rFonts w:ascii="宋体" w:cs="宋体"/>
          <w:sz w:val="24"/>
          <w:highlight w:val="auto"/>
        </w:rPr>
      </w:pPr>
      <w:r>
        <w:rPr>
          <w:rFonts w:ascii="宋体" w:cs="宋体"/>
          <w:sz w:val="24"/>
          <w:highlight w:val="auto"/>
        </w:rPr>
        <w:tab/>
        <w:t>3.9</w:t>
        <w:tab/>
        <w:t>具有安全装置/报警、双联锁盖系统、超温超压断电、锁盖检测、温敏探头断路检测、压力安全阀、灭菌时间读数定时器、加热故障检测、缺水保护装置、漏电断路器功能。</w:t>
      </w:r>
    </w:p>
    <w:p>
      <w:pPr>
        <w:pStyle w:val="15"/>
        <w:spacing w:line="400" w:lineRule="exact"/>
        <w:ind w:firstLineChars="300" w:firstLine="720"/>
        <w:rPr>
          <w:rFonts w:ascii="宋体" w:cs="宋体" w:hint="eastAsia"/>
          <w:sz w:val="24"/>
          <w:highlight w:val="auto"/>
        </w:rPr>
      </w:pPr>
      <w:r>
        <w:rPr>
          <w:rFonts w:ascii="宋体" w:cs="宋体" w:hint="eastAsia"/>
          <w:sz w:val="24"/>
          <w:highlight w:val="auto"/>
        </w:rPr>
        <w:t>★3.10提供产品</w:t>
      </w:r>
      <w:r>
        <w:rPr>
          <w:rFonts w:ascii="宋体" w:cs="宋体"/>
          <w:sz w:val="24"/>
          <w:highlight w:val="auto"/>
        </w:rPr>
        <w:t>有效的《消毒产品卫生安全评价报告》或有效的卫生许可批件</w:t>
      </w:r>
      <w:r>
        <w:rPr>
          <w:rFonts w:ascii="宋体" w:cs="宋体" w:hint="eastAsia"/>
          <w:sz w:val="24"/>
          <w:highlight w:val="auto"/>
        </w:rPr>
        <w:t>。</w:t>
      </w:r>
    </w:p>
    <w:p>
      <w:pPr>
        <w:pStyle w:val="15"/>
        <w:spacing w:line="400" w:lineRule="exact"/>
        <w:rPr>
          <w:rFonts w:ascii="宋体" w:cs="宋体" w:hint="eastAsia"/>
          <w:sz w:val="24"/>
          <w:highlight w:val="auto"/>
        </w:rPr>
      </w:pPr>
      <w:r>
        <w:rPr>
          <w:rFonts w:ascii="宋体" w:cs="宋体" w:hint="eastAsia"/>
          <w:sz w:val="24"/>
          <w:highlight w:val="auto"/>
        </w:rPr>
        <w:t>★4.配置要求：</w:t>
      </w:r>
    </w:p>
    <w:p>
      <w:pPr>
        <w:pStyle w:val="15"/>
        <w:spacing w:line="400" w:lineRule="exact"/>
        <w:ind w:firstLineChars="300" w:firstLine="720"/>
        <w:rPr>
          <w:rFonts w:ascii="宋体" w:cs="宋体"/>
          <w:sz w:val="24"/>
          <w:highlight w:val="auto"/>
        </w:rPr>
      </w:pPr>
      <w:r>
        <w:rPr>
          <w:rFonts w:ascii="宋体" w:cs="宋体"/>
          <w:sz w:val="24"/>
          <w:highlight w:val="auto"/>
        </w:rPr>
        <w:t>4.1</w:t>
        <w:tab/>
        <w:t>主机1台，提框1套，冷却风扇1套，水位传感器1套，生物安全排气过滤器1套,配套集气瓶</w:t>
      </w:r>
      <w:r>
        <w:rPr>
          <w:rFonts w:ascii="宋体" w:cs="宋体" w:hint="eastAsia"/>
          <w:sz w:val="24"/>
          <w:highlight w:val="auto"/>
        </w:rPr>
        <w:t>1个</w:t>
      </w:r>
      <w:r>
        <w:rPr>
          <w:rFonts w:ascii="宋体" w:cs="宋体"/>
          <w:sz w:val="24"/>
          <w:highlight w:val="auto"/>
        </w:rPr>
        <w:t>。</w:t>
      </w:r>
    </w:p>
    <w:p>
      <w:pPr>
        <w:pStyle w:val="15"/>
        <w:spacing w:line="400" w:lineRule="exact"/>
        <w:ind w:firstLineChars="0" w:firstLine="0"/>
        <w:rPr>
          <w:rFonts w:ascii="宋体" w:cs="宋体"/>
          <w:sz w:val="24"/>
          <w:highlight w:val="auto"/>
        </w:rPr>
      </w:pPr>
    </w:p>
    <w:p>
      <w:pPr>
        <w:pStyle w:val="15"/>
        <w:spacing w:line="400" w:lineRule="exact"/>
        <w:outlineLvl w:val="2"/>
        <w:rPr>
          <w:rFonts w:ascii="宋体" w:cs="宋体" w:hint="eastAsia"/>
          <w:b/>
          <w:bCs/>
          <w:sz w:val="24"/>
          <w:highlight w:val="auto"/>
        </w:rPr>
      </w:pPr>
      <w:r>
        <w:rPr>
          <w:rFonts w:ascii="宋体" w:cs="宋体" w:hint="eastAsia"/>
          <w:b/>
          <w:bCs/>
          <w:sz w:val="24"/>
          <w:highlight w:val="auto"/>
        </w:rPr>
        <w:t>2、实验室试剂耗材智能储存管理设备</w:t>
      </w:r>
    </w:p>
    <w:p>
      <w:pPr>
        <w:pStyle w:val="15"/>
        <w:spacing w:line="400" w:lineRule="exact"/>
        <w:rPr>
          <w:rFonts w:ascii="宋体" w:cs="宋体"/>
          <w:sz w:val="24"/>
          <w:highlight w:val="auto"/>
        </w:rPr>
      </w:pPr>
      <w:r>
        <w:rPr>
          <w:rFonts w:ascii="宋体" w:cs="宋体" w:hint="eastAsia"/>
          <w:sz w:val="24"/>
          <w:highlight w:val="auto"/>
        </w:rPr>
        <w:t>1.主要用途：用于检验试剂智能化管理。</w:t>
      </w:r>
    </w:p>
    <w:p>
      <w:pPr>
        <w:pStyle w:val="15"/>
        <w:spacing w:line="400" w:lineRule="exact"/>
        <w:rPr>
          <w:rFonts w:ascii="宋体" w:cs="宋体" w:hint="eastAsia"/>
          <w:sz w:val="24"/>
          <w:highlight w:val="auto"/>
        </w:rPr>
      </w:pPr>
      <w:r>
        <w:rPr>
          <w:rFonts w:ascii="宋体" w:cs="宋体" w:hint="eastAsia"/>
          <w:sz w:val="24"/>
          <w:highlight w:val="auto"/>
        </w:rPr>
        <w:t>2.技术参数要求：</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2.1</w:t>
        <w:tab/>
        <w:t>智能柜具备灵活场地适应性，智能柜高度不超过2000mm，宽度不超过800 mm，深度不超过1000mm，单柜有效容积不小于600L，单柜净重不超过200KG</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2.2</w:t>
        <w:tab/>
        <w:t>主体框架材质要求：柜体整体使用厚度不低于1.2mm的镀锌钢板，使用喷塑工艺，PS内胆，出厂配置5个格架</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2.3</w:t>
        <w:tab/>
        <w:t>存放试剂数量要求：单柜满足≥300件试剂有效存放</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2.4</w:t>
        <w:tab/>
        <w:t>智能柜技术功能要求：采用安全UHF RFID技术，波段频率902MHZ～928MHZ</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2.5</w:t>
        <w:tab/>
        <w:t>独立单柜模式，可多个柜子同时操作，避免高峰排队等待</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2.6</w:t>
        <w:tab/>
        <w:t>显示屏幕：电容触控屏幕≥15.6英寸</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2.7</w:t>
        <w:tab/>
        <w:t>取用试剂身份识别方式：配置有不少于三种开门方式，至少包含指纹、人脸识别、NFC刷卡</w:t>
      </w:r>
      <w:r>
        <w:rPr>
          <w:rStyle w:val="16"/>
          <w:rFonts w:hint="eastAsia"/>
          <w:highlight w:val="auto"/>
        </w:rPr>
        <w:t>。</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2.8</w:t>
        <w:tab/>
        <w:t>内置4G网卡，可通过4G、WIFI、网线与现有信息系统对接</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2.9</w:t>
        <w:tab/>
        <w:t>柜体屏蔽性能要求：100%无泄漏</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2.10</w:t>
        <w:tab/>
        <w:t>操作系统要求：独立工控机，内置安卓系统</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2.11</w:t>
        <w:tab/>
        <w:t>内嵌喇叭，可进行语音播报</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2.12</w:t>
        <w:tab/>
        <w:t>内部可根据试剂种类，配备挂架、隔板。</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2.13</w:t>
        <w:tab/>
        <w:t>存储内部内嵌LED灯带，开门自动亮灯，方便辨认柜内耗材</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2.14</w:t>
        <w:tab/>
        <w:t>需配备移动脚轮：万向轮4个及以上，</w:t>
      </w:r>
      <w:r>
        <w:rPr>
          <w:rStyle w:val="16"/>
          <w:rFonts w:hint="eastAsia"/>
          <w:highlight w:val="auto"/>
        </w:rPr>
        <w:t>支持</w:t>
      </w:r>
      <w:r>
        <w:rPr>
          <w:rFonts w:ascii="宋体" w:cs="宋体" w:hint="eastAsia"/>
          <w:sz w:val="24"/>
          <w:highlight w:val="auto"/>
        </w:rPr>
        <w:t>柜体移动，脚轮可固定，支持柜体固定使用。</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2.15</w:t>
        <w:tab/>
        <w:t>每个柜体均支持独立身份识别功能，单柜可自行控制柜门的打开；系统可同时监控并记录多人操作痕迹，无需排队依次认证身份，便于人员管理及追溯，防止试剂等的随意拿取及丢失</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2.16</w:t>
        <w:tab/>
        <w:t>单柜体配备应急解锁装置，手动开门，断电或柜体故障时，能及时打开柜门取试剂</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2.17</w:t>
        <w:tab/>
        <w:t>需要方便维修：柜体顶部等位置需要配备维修口，不需挪动柜体即可进行维修维护</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2.18</w:t>
        <w:tab/>
        <w:t>识别准确率：300件及以上试剂，≥99.99%</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2.19</w:t>
        <w:tab/>
        <w:t>单体柜盘点时间：≤3s（300件）</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2.20</w:t>
        <w:tab/>
        <w:t>精准盘点：通过RFID技术自动感知柜内耗材的入库，取用，归还，退库，做到柜内盘点无漏读，柜组之间无串读。</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2.21</w:t>
        <w:tab/>
        <w:t>超低温冰箱。设定温度范围-10°C～-86°C，适用范围在-40°C～-86°C 范围调节，控温精度0.1℃。微电脑控制， 大于等于10英寸高性能LCD电容屏，直观显示箱内温度、环境温度、输入电压和温度曲线数据，显示精度0.1℃，可连接wifi实现网络功能。冰箱内有效容积415L±10L，整机装箱量（2ML冻存管容量）30000份样本；采用HC环保制冷剂和复叠制冷系统，一个压缩机灌注一种制冷剂，铭牌上要标注制冷剂的详细名称及装入量；</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★3.配置要求：</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3.1</w:t>
        <w:tab/>
        <w:t>实验室试剂耗材智能储存管理设备一套，含智能试剂冰箱整机9台（其中超低温冰箱整机1台）</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3.2</w:t>
        <w:tab/>
        <w:t>单台智能试剂冰箱主要配置清单如下：</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3.2.1</w:t>
        <w:tab/>
        <w:t>压缩机：1台</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3.2.2</w:t>
        <w:tab/>
        <w:t>LED灯：1个</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3.2.3</w:t>
        <w:tab/>
        <w:t>搁架：5个</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3.2.4</w:t>
        <w:tab/>
        <w:t>一体机：1台</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3.2.5</w:t>
        <w:tab/>
        <w:t>RFID标签打印机：1台，15000标签</w:t>
      </w:r>
    </w:p>
    <w:p>
      <w:pPr>
        <w:pStyle w:val="15"/>
        <w:spacing w:line="400" w:lineRule="exact"/>
        <w:ind w:firstLineChars="0" w:firstLine="0"/>
        <w:rPr>
          <w:rFonts w:ascii="宋体" w:cs="宋体"/>
          <w:sz w:val="24"/>
          <w:highlight w:val="auto"/>
        </w:rPr>
      </w:pPr>
    </w:p>
    <w:p>
      <w:pPr>
        <w:pStyle w:val="15"/>
        <w:spacing w:line="400" w:lineRule="exact"/>
        <w:outlineLvl w:val="2"/>
        <w:rPr>
          <w:rFonts w:ascii="宋体" w:cs="宋体" w:hint="eastAsia"/>
          <w:b/>
          <w:bCs/>
          <w:sz w:val="24"/>
          <w:highlight w:val="auto"/>
        </w:rPr>
      </w:pPr>
      <w:r>
        <w:rPr>
          <w:rFonts w:ascii="宋体" w:cs="宋体" w:hint="eastAsia"/>
          <w:b/>
          <w:bCs/>
          <w:sz w:val="24"/>
          <w:highlight w:val="auto"/>
        </w:rPr>
        <w:t>02包：</w:t>
      </w:r>
    </w:p>
    <w:p>
      <w:pPr>
        <w:pStyle w:val="15"/>
        <w:spacing w:line="400" w:lineRule="exact"/>
        <w:outlineLvl w:val="2"/>
        <w:rPr>
          <w:rFonts w:ascii="宋体" w:cs="宋体" w:hint="eastAsia"/>
          <w:b/>
          <w:bCs/>
          <w:sz w:val="24"/>
          <w:highlight w:val="auto"/>
        </w:rPr>
      </w:pPr>
      <w:r>
        <w:rPr>
          <w:rFonts w:ascii="宋体" w:cs="宋体" w:hint="eastAsia"/>
          <w:b/>
          <w:bCs/>
          <w:sz w:val="24"/>
          <w:highlight w:val="auto"/>
        </w:rPr>
        <w:t>1、生物显微镜1</w:t>
      </w:r>
    </w:p>
    <w:p>
      <w:pPr>
        <w:pStyle w:val="15"/>
        <w:spacing w:line="400" w:lineRule="exact"/>
        <w:rPr>
          <w:rFonts w:ascii="宋体" w:cs="宋体" w:hint="eastAsia"/>
          <w:sz w:val="24"/>
          <w:highlight w:val="auto"/>
        </w:rPr>
      </w:pPr>
      <w:r>
        <w:rPr>
          <w:rFonts w:ascii="宋体" w:cs="宋体" w:hint="eastAsia"/>
          <w:sz w:val="24"/>
          <w:highlight w:val="auto"/>
        </w:rPr>
        <w:t>1.主要用途：主要用于粪便、血液或组织样本中的染色及透明未染色的寄生虫检测。</w:t>
      </w:r>
    </w:p>
    <w:p>
      <w:pPr>
        <w:pStyle w:val="15"/>
        <w:spacing w:line="400" w:lineRule="exact"/>
        <w:rPr>
          <w:rFonts w:ascii="宋体" w:cs="宋体" w:hint="eastAsia"/>
          <w:sz w:val="24"/>
          <w:highlight w:val="auto"/>
        </w:rPr>
      </w:pPr>
      <w:r>
        <w:rPr>
          <w:rFonts w:ascii="宋体" w:cs="宋体" w:hint="eastAsia"/>
          <w:sz w:val="24"/>
          <w:highlight w:val="auto"/>
        </w:rPr>
        <w:t>2.技术参数要求：</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 xml:space="preserve"> ★</w:t>
        <w:tab/>
        <w:t>2.1</w:t>
        <w:tab/>
        <w:t>光学系统：无限远色差反差双重校正光学系统，国际标准物镜齐焦距离≤45mm。放大倍数50-1000X</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2.2</w:t>
        <w:tab/>
        <w:t>智能显微镜主机，内置光强管理系统，自适应物镜光强，切换时自动匹配亮度。同时，切换不同倍数镜头时，软件自动计算标尺。</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2.3</w:t>
        <w:tab/>
        <w:t>观察方式：明场，暗场 ，可升级至≥5种观察方式，至少包含荧光、偏光和相差。</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2.4</w:t>
        <w:tab/>
        <w:t>调焦机构：同轴粗微调焦机构，粗调≥4mm/圈，微调≤0.4mm/圈，最小刻度≤4μm。</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2.5</w:t>
        <w:tab/>
        <w:t>光源：内置透射光科勒技术类型照明器，长寿命LED光源，功率≥10W，有效使用时间≥60000小时。</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2.6</w:t>
        <w:tab/>
        <w:t>观察筒：三目观察筒，观察角度≥30°，视场数≥23mm，目镜筒可360度自由旋转。</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2.7</w:t>
        <w:tab/>
        <w:t>目镜：10X目镜，视场数≥23mm，双目屈光度±5可调。</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2.8</w:t>
        <w:tab/>
        <w:t>编码型物镜转换器≥5位，物镜接口（螺纹）≥27mm。</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2.9</w:t>
        <w:tab/>
        <w:t>物镜：数量≥5颗，放大倍数50-1000倍</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物镜    5X， 数值孔径≥0.12；工作距离≥10.1mm；物镜口径≥M27</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物镜  10X，数值孔径≥0.25；工作距离≥4.5mm；物镜口径≥M27</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物镜  20X，数值孔径≥0.45；工作距离≥0.46mm；物镜口径≥M27</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物镜  40X，数值孔径≥0.65；工作距离≥0.45mm；物镜口径≥M27</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物镜（油镜）100X，数值孔径：NA≥1.25；工作距离≥0.22mm；物镜口径≥M27</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2.10</w:t>
        <w:tab/>
        <w:t>载物台：面积≥220×170mm，移动范围≥75×50 mm，精度≤0.1mm。手柄控制XY方向同轴转动滚花旋钮调节范围≥15mm。</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2.11</w:t>
        <w:tab/>
        <w:t>聚光镜：非摆动式多功能聚光镜：NA≥0.9/1.25。配置有暗场适配模块。</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2.12</w:t>
        <w:tab/>
        <w:t>集成节能Eco模式，当显微镜在空闲15分钟后会自动进入待机状态。</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2.13</w:t>
        <w:tab/>
        <w:t>机身集成相机供电端口，相机无需额外供电，快速拍摄图像按钮≥2个，可快速获取图像或视频信息。</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2.14</w:t>
        <w:tab/>
        <w:t>原厂同品牌智能彩色相机：CMOS芯片尺寸≥1/1.7英寸，物理像素≥1230万，像素点大小≥3.7μm × 3.7μm，4k分辨率拍摄速度≥30幅/秒，位深≥24bit，可通过显微镜机身或单独电源供电两种方式可供选择，相机机身有独立的电源开关，数据传输接口≥5种，至少包含HDMI/USB2.0/Type C/RJ45/M8，可利用Wi-Fi进行连接控制相机拍照，相机自带OSD图像采集系统，可利用HDMI直接连接显示器进行图像采集，无需额外配备电脑。（需提供制造商官方发布的该款相机的技术宣传手册）</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2.15</w:t>
        <w:tab/>
        <w:t>同品牌软件系统，可兼容IOS系统iPAD及Windows系统电脑：  具有图像采集、放大/缩小、刻度注解及灰度、格状、LUT、直方图。具有自动拍摄、3D多维拍摄、录像，红绿蓝等多荧光通道叠加功能。具有交互式测量功能，长度、面积、角度、灰度、直径、圆等测量功能，具有计数功能和手动景深扩展功能，大图拼接等功能；</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2.16</w:t>
        <w:tab/>
        <w:t>数据处理终端一套（配备分析软件、正版操作系统及办公软件），要求如下：6核12线程，主频2.5 GHz至4.4GHz，16GDDR5，存储系统：≥1 TB； M.2 NVMe固态硬盘做系统盘；配备不小于27寸液晶显示器，1920X1080分辨率及以上。配备具有双面打印功能的激光打印扫描输出一体设备1台。</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★3.配置要求：</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智能编码显微镜主机                     1套</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5X 10X 20X 40X 100X物镜                1套</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暗场聚光镜                             1套</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载物台                                 1套</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同品牌原厂相机                         1套</w:t>
      </w:r>
    </w:p>
    <w:p>
      <w:pPr>
        <w:pStyle w:val="15"/>
        <w:spacing w:line="400" w:lineRule="exact"/>
        <w:ind w:leftChars="200" w:left="420" w:firstLineChars="0" w:firstLine="0"/>
        <w:rPr>
          <w:rFonts w:ascii="宋体" w:cs="宋体" w:hint="eastAsia"/>
          <w:sz w:val="24"/>
          <w:highlight w:val="auto"/>
        </w:rPr>
      </w:pPr>
      <w:r>
        <w:rPr>
          <w:rFonts w:hint="eastAsia"/>
          <w:highlight w:val="auto"/>
        </w:rPr>
        <w:t>数据处理终端</w:t>
      </w:r>
      <w:r>
        <w:rPr>
          <w:rFonts w:ascii="宋体" w:cs="宋体" w:hint="eastAsia"/>
          <w:sz w:val="24"/>
          <w:highlight w:val="auto"/>
        </w:rPr>
        <w:t xml:space="preserve">                       1套</w:t>
      </w:r>
    </w:p>
    <w:p>
      <w:pPr>
        <w:pStyle w:val="15"/>
        <w:spacing w:line="400" w:lineRule="exact"/>
        <w:ind w:firstLineChars="0" w:firstLine="0"/>
        <w:rPr>
          <w:rFonts w:ascii="宋体" w:cs="宋体" w:hint="eastAsia"/>
          <w:sz w:val="24"/>
          <w:highlight w:val="auto"/>
        </w:rPr>
      </w:pPr>
    </w:p>
    <w:p>
      <w:pPr>
        <w:pStyle w:val="15"/>
        <w:spacing w:line="400" w:lineRule="exact"/>
        <w:outlineLvl w:val="2"/>
        <w:rPr>
          <w:rFonts w:ascii="宋体" w:cs="宋体"/>
          <w:b/>
          <w:bCs/>
          <w:sz w:val="24"/>
          <w:highlight w:val="auto"/>
        </w:rPr>
      </w:pPr>
      <w:r>
        <w:rPr>
          <w:rFonts w:ascii="宋体" w:cs="宋体" w:hint="eastAsia"/>
          <w:b/>
          <w:bCs/>
          <w:sz w:val="24"/>
          <w:highlight w:val="auto"/>
        </w:rPr>
        <w:t>2、生物显微镜2</w:t>
      </w:r>
    </w:p>
    <w:p>
      <w:pPr>
        <w:pStyle w:val="15"/>
        <w:spacing w:line="400" w:lineRule="exact"/>
        <w:rPr>
          <w:rFonts w:ascii="宋体" w:cs="宋体" w:hint="eastAsia"/>
          <w:sz w:val="24"/>
          <w:highlight w:val="auto"/>
        </w:rPr>
      </w:pPr>
      <w:r>
        <w:rPr>
          <w:rFonts w:ascii="宋体" w:cs="宋体" w:hint="eastAsia"/>
          <w:sz w:val="24"/>
          <w:highlight w:val="auto"/>
        </w:rPr>
        <w:t>1.主要用途：主要观察通过染色后的血细胞结构，用于分析血液细胞的形态、数量及异常情况。</w:t>
      </w:r>
    </w:p>
    <w:p>
      <w:pPr>
        <w:pStyle w:val="15"/>
        <w:spacing w:line="400" w:lineRule="exact"/>
        <w:rPr>
          <w:rFonts w:ascii="宋体" w:cs="宋体" w:hint="eastAsia"/>
          <w:sz w:val="24"/>
          <w:highlight w:val="auto"/>
        </w:rPr>
      </w:pPr>
      <w:r>
        <w:rPr>
          <w:rFonts w:ascii="宋体" w:cs="宋体" w:hint="eastAsia"/>
          <w:sz w:val="24"/>
          <w:highlight w:val="auto"/>
        </w:rPr>
        <w:t>2.技术参数要求：</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2.1</w:t>
        <w:tab/>
        <w:t>光学系统：无限远色差反差双重校正光学系统，国际标准物镜齐焦距离≤45mm。放大倍数50-1000X</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2.2</w:t>
        <w:tab/>
        <w:t>智能显微镜主机，内置光强管理系统，自适应物镜光强，切换时自动匹配亮度。同时，切换不同倍数镜头时，软件自动计算标尺。</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2.3</w:t>
        <w:tab/>
        <w:t>观察方式：明场，可升级至≥5种观察方式，至少包含荧光、暗场、偏光和相差等。</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2.4</w:t>
        <w:tab/>
        <w:t>调焦机构：同轴粗微调焦机构，粗调≥4mm/圈，微调≤0.4mm/圈，最小刻度≤4μm。</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2.5</w:t>
        <w:tab/>
        <w:t>光源：内置透射光科勒技术类型照明器，长寿命LED光源，功率≥10W，有效使用时间≥60000小时。</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2.6</w:t>
        <w:tab/>
        <w:t>观察筒：三目观察筒，观察角度≥30°，视场数≥23mm，目镜筒可360度自由旋转。</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2.7</w:t>
        <w:tab/>
        <w:t>目镜：10x目镜，视场数≥23mm，双目屈光度±5可调。</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2.8</w:t>
        <w:tab/>
        <w:t>#编码型物镜转换器≥5位，物镜接口（螺纹）≥27mm。</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2.9</w:t>
        <w:tab/>
        <w:t>物镜：数量≥5颗，放大倍数50-1000倍</w:t>
      </w:r>
    </w:p>
    <w:p>
      <w:pPr>
        <w:pStyle w:val="15"/>
        <w:spacing w:line="400" w:lineRule="exact"/>
        <w:ind w:leftChars="400" w:left="840" w:firstLineChars="0" w:firstLine="0"/>
        <w:rPr>
          <w:rFonts w:ascii="宋体" w:cs="宋体" w:hint="eastAsia"/>
          <w:sz w:val="24"/>
          <w:highlight w:val="auto"/>
        </w:rPr>
      </w:pPr>
      <w:r>
        <w:rPr>
          <w:rFonts w:ascii="宋体" w:cs="宋体" w:hint="eastAsia"/>
          <w:sz w:val="24"/>
          <w:highlight w:val="auto"/>
        </w:rPr>
        <w:t>物镜    5×， 数值孔径≥0.12；工作距离≥10.1mm；物镜口径≥M27</w:t>
      </w:r>
    </w:p>
    <w:p>
      <w:pPr>
        <w:pStyle w:val="15"/>
        <w:spacing w:line="400" w:lineRule="exact"/>
        <w:ind w:leftChars="400" w:left="840" w:firstLineChars="0" w:firstLine="0"/>
        <w:rPr>
          <w:rFonts w:ascii="宋体" w:cs="宋体" w:hint="eastAsia"/>
          <w:sz w:val="24"/>
          <w:highlight w:val="auto"/>
        </w:rPr>
      </w:pPr>
      <w:r>
        <w:rPr>
          <w:rFonts w:ascii="宋体" w:cs="宋体" w:hint="eastAsia"/>
          <w:sz w:val="24"/>
          <w:highlight w:val="auto"/>
        </w:rPr>
        <w:t>物镜  10×，数值孔径≥0.25;   工作距离≥4.5mm；物镜口径≥M27</w:t>
      </w:r>
    </w:p>
    <w:p>
      <w:pPr>
        <w:pStyle w:val="15"/>
        <w:spacing w:line="400" w:lineRule="exact"/>
        <w:ind w:leftChars="400" w:left="840" w:firstLineChars="0" w:firstLine="0"/>
        <w:rPr>
          <w:rFonts w:ascii="宋体" w:cs="宋体" w:hint="eastAsia"/>
          <w:sz w:val="24"/>
          <w:highlight w:val="auto"/>
        </w:rPr>
      </w:pPr>
      <w:r>
        <w:rPr>
          <w:rFonts w:ascii="宋体" w:cs="宋体" w:hint="eastAsia"/>
          <w:sz w:val="24"/>
          <w:highlight w:val="auto"/>
        </w:rPr>
        <w:t>物镜  20x，数值孔径≥0.45，工作距离≥0.46mm；物镜口径≥M27</w:t>
      </w:r>
    </w:p>
    <w:p>
      <w:pPr>
        <w:pStyle w:val="15"/>
        <w:spacing w:line="400" w:lineRule="exact"/>
        <w:ind w:leftChars="400" w:left="840" w:firstLineChars="0" w:firstLine="0"/>
        <w:rPr>
          <w:rFonts w:ascii="宋体" w:cs="宋体" w:hint="eastAsia"/>
          <w:sz w:val="24"/>
          <w:highlight w:val="auto"/>
        </w:rPr>
      </w:pPr>
      <w:r>
        <w:rPr>
          <w:rFonts w:ascii="宋体" w:cs="宋体" w:hint="eastAsia"/>
          <w:sz w:val="24"/>
          <w:highlight w:val="auto"/>
        </w:rPr>
        <w:t>物镜  40×，数值孔径≥0.65；工作距离≥0.45mm；物镜口径≥M27</w:t>
      </w:r>
    </w:p>
    <w:p>
      <w:pPr>
        <w:pStyle w:val="15"/>
        <w:spacing w:line="400" w:lineRule="exact"/>
        <w:ind w:leftChars="400" w:left="840" w:firstLineChars="0" w:firstLine="0"/>
        <w:rPr>
          <w:rFonts w:ascii="宋体" w:cs="宋体" w:hint="eastAsia"/>
          <w:sz w:val="24"/>
          <w:highlight w:val="auto"/>
        </w:rPr>
      </w:pPr>
      <w:r>
        <w:rPr>
          <w:rFonts w:ascii="宋体" w:cs="宋体" w:hint="eastAsia"/>
          <w:sz w:val="24"/>
          <w:highlight w:val="auto"/>
        </w:rPr>
        <w:t>物镜（油镜）100×，数值孔径：NA≥1.25；工作距离≥0.22mm；物镜口径≥M27</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2.10</w:t>
        <w:tab/>
        <w:t>载物台：面积≥220×170mm，移动范围≥75×50 mm，精度≤0.1mm。手柄控制XY方向同轴转动滚花旋钮调节范围≥15mm。</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2.11</w:t>
        <w:tab/>
        <w:t>聚光镜：非摆动式多功能聚光镜：NA≥0.9/1.25。</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2.12</w:t>
        <w:tab/>
        <w:t>集成节能Eco模式，当显微镜在空闲15分钟后会自动进入待机状态。</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2.13</w:t>
        <w:tab/>
        <w:t>机身集成相机供电端口，相机无需额外供电，快速拍摄图像按钮≥2个，可快速获取图像或视频信息。</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2.14</w:t>
        <w:tab/>
        <w:t>原厂同品牌智能彩色相机：CMOS芯片尺寸≥1/1.7英寸，物理像素≥1230万，像素点大小≥3.7μm x 3.7μm，4k分辨率拍摄速度≥30幅/秒，位深≥24bit，可通过显微镜机身或单独电源供电两种方式可供选择，相机机身有独立的电源开关，数据传输接口≥5种，至少包含HDMI/USB2.0/Type C/RJ45/M8，可利用Wi-Fi进行连接控制相机拍照，相机自带OSD图像采集系统，可利用HDMI直接连接显示器进行图像采集，无需额外配备电脑。（需提供制造商官方发布的该款相机的技术宣传手册）</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2.15</w:t>
        <w:tab/>
        <w:t>同品牌软件系统，可兼容IOS系统iPAD及Windows系统电脑：  具有图像采集、放大/缩小、刻度注解及灰度、格状、LUT、直方图。具有自动拍摄、3D多维拍摄、录像，红绿蓝等多荧光通道叠加功能。具有交互式测量功能，长度、面积、角度、灰度、直径、圆等测量功能，具有计数功能和手动景深扩展功能，大图拼接等功能；</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2.16</w:t>
        <w:tab/>
        <w:t>数据处理终端一套（配备分析软件、正版操作系统及办公软件），要求如下：6核12线程，主频2.5 GHz至4.4GHz，16GDDR5，存储系统：≥1 TB； M.2 NVMe固态硬盘做系统盘；配备不小于27寸液晶显示器，1920×1080分辨率及以上。配备具有双面打印功能的激光打印扫描输出一体设备1台。</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★3.配置要求：</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智能编码显微镜主机           1套</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5X 10X 20X 40X 100X物镜      1套</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聚光镜                       1套</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载物台                       1套</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同品牌原厂相机               1套</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数据处理终端                1套</w:t>
      </w:r>
    </w:p>
    <w:p>
      <w:pPr>
        <w:pStyle w:val="15"/>
        <w:spacing w:line="400" w:lineRule="exact"/>
        <w:ind w:firstLineChars="0" w:firstLine="0"/>
        <w:rPr>
          <w:rFonts w:ascii="宋体" w:cs="宋体" w:hint="eastAsia"/>
          <w:sz w:val="24"/>
          <w:highlight w:val="auto"/>
        </w:rPr>
      </w:pPr>
    </w:p>
    <w:p>
      <w:pPr>
        <w:pStyle w:val="15"/>
        <w:spacing w:line="400" w:lineRule="exact"/>
        <w:outlineLvl w:val="2"/>
        <w:rPr>
          <w:rFonts w:ascii="宋体" w:cs="宋体" w:hint="eastAsia"/>
          <w:b/>
          <w:bCs/>
          <w:sz w:val="24"/>
          <w:highlight w:val="auto"/>
        </w:rPr>
      </w:pPr>
      <w:r>
        <w:rPr>
          <w:rFonts w:ascii="宋体" w:cs="宋体" w:hint="eastAsia"/>
          <w:b/>
          <w:bCs/>
          <w:sz w:val="24"/>
          <w:highlight w:val="auto"/>
        </w:rPr>
        <w:t>3、生物显微镜3</w:t>
      </w:r>
    </w:p>
    <w:p>
      <w:pPr>
        <w:pStyle w:val="15"/>
        <w:spacing w:line="400" w:lineRule="exact"/>
        <w:rPr>
          <w:rFonts w:ascii="宋体" w:cs="宋体" w:hint="eastAsia"/>
          <w:sz w:val="24"/>
          <w:highlight w:val="auto"/>
        </w:rPr>
      </w:pPr>
      <w:r>
        <w:rPr>
          <w:rFonts w:ascii="宋体" w:cs="宋体" w:hint="eastAsia"/>
          <w:sz w:val="24"/>
          <w:highlight w:val="auto"/>
        </w:rPr>
        <w:t>1.主要用途：主要通过尿液沉渣结晶的双折射性，可特异性识别尿液中结晶的类型（如草酸钙、胱氨酸等），并辅助区分尿沉渣中的有形成分（如细胞、管型），在泌尿系统疾病诊断中具有独特用途。</w:t>
      </w:r>
    </w:p>
    <w:p>
      <w:pPr>
        <w:pStyle w:val="15"/>
        <w:spacing w:line="400" w:lineRule="exact"/>
        <w:rPr>
          <w:rFonts w:ascii="宋体" w:cs="宋体" w:hint="eastAsia"/>
          <w:sz w:val="24"/>
          <w:highlight w:val="auto"/>
        </w:rPr>
      </w:pPr>
      <w:r>
        <w:rPr>
          <w:rFonts w:ascii="宋体" w:cs="宋体" w:hint="eastAsia"/>
          <w:sz w:val="24"/>
          <w:highlight w:val="auto"/>
        </w:rPr>
        <w:t>2.技术参数要求：</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2.1</w:t>
        <w:tab/>
        <w:t>光学系统：无限远色差反差双重校正光学系统，国际标准物镜齐焦距离≤45mm。放大倍数50-1000X</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2.2</w:t>
        <w:tab/>
        <w:t>智能显微镜主机，内置光强管理系统，自适应物镜光强，切换时自动匹配亮度。同时，切换不同倍数镜头时，软件自动计算标尺。</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2.3</w:t>
        <w:tab/>
        <w:t>观察方式：明场，偏光 ，可升级至≥5种观察方式，至少包含荧光、暗场和相差等。</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2.4</w:t>
        <w:tab/>
        <w:t>调焦机构：同轴粗微调焦机构，粗调≥4mm/圈，微调≤0.4mm/圈，最小刻度≤4μm。</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2.5</w:t>
        <w:tab/>
        <w:t>光源：内置透射光科勒技术类型照明器，长寿命LED光源，功率≥10W，有效使用时间≥60000小时。</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2.6</w:t>
        <w:tab/>
        <w:t>观察筒：三目观察筒，观察角度≥30°，视场数≥23mm，目镜筒可360度自由旋转。</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2.7</w:t>
        <w:tab/>
        <w:t>目镜：10X目镜，视场数≥23mm，双目屈光度±5可调。</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2.8编码型物镜转换器≥5位，物镜接口（螺纹）≥27mm。</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2.9</w:t>
        <w:tab/>
        <w:t>物镜：数量≥5颗，放大倍数50-1000倍</w:t>
      </w:r>
    </w:p>
    <w:p>
      <w:pPr>
        <w:pStyle w:val="15"/>
        <w:spacing w:line="400" w:lineRule="exact"/>
        <w:ind w:leftChars="300" w:left="630" w:firstLineChars="0" w:firstLine="0"/>
        <w:rPr>
          <w:rFonts w:ascii="宋体" w:cs="宋体" w:hint="eastAsia"/>
          <w:sz w:val="24"/>
          <w:highlight w:val="auto"/>
        </w:rPr>
      </w:pPr>
      <w:r>
        <w:rPr>
          <w:rFonts w:ascii="宋体" w:cs="宋体" w:hint="eastAsia"/>
          <w:sz w:val="24"/>
          <w:highlight w:val="auto"/>
        </w:rPr>
        <w:t>物镜    5X， 数值孔径≥0.12；工作距离≥10.1mm；物镜口径≥M27</w:t>
      </w:r>
    </w:p>
    <w:p>
      <w:pPr>
        <w:pStyle w:val="15"/>
        <w:spacing w:line="400" w:lineRule="exact"/>
        <w:ind w:leftChars="300" w:left="630" w:firstLineChars="0" w:firstLine="0"/>
        <w:rPr>
          <w:rFonts w:ascii="宋体" w:cs="宋体" w:hint="eastAsia"/>
          <w:sz w:val="24"/>
          <w:highlight w:val="auto"/>
        </w:rPr>
      </w:pPr>
      <w:r>
        <w:rPr>
          <w:rFonts w:ascii="宋体" w:cs="宋体" w:hint="eastAsia"/>
          <w:sz w:val="24"/>
          <w:highlight w:val="auto"/>
        </w:rPr>
        <w:t>物镜  10X，数值孔径≥0.25；工作距离≥4.5mm；物镜口径≥M27</w:t>
      </w:r>
    </w:p>
    <w:p>
      <w:pPr>
        <w:pStyle w:val="15"/>
        <w:spacing w:line="400" w:lineRule="exact"/>
        <w:ind w:leftChars="300" w:left="630" w:firstLineChars="0" w:firstLine="0"/>
        <w:rPr>
          <w:rFonts w:ascii="宋体" w:cs="宋体" w:hint="eastAsia"/>
          <w:sz w:val="24"/>
          <w:highlight w:val="auto"/>
        </w:rPr>
      </w:pPr>
      <w:r>
        <w:rPr>
          <w:rFonts w:ascii="宋体" w:cs="宋体" w:hint="eastAsia"/>
          <w:sz w:val="24"/>
          <w:highlight w:val="auto"/>
        </w:rPr>
        <w:t>物镜  20X，数值孔径≥0.45；工作距离≥0.46mm；物镜口径≥M27</w:t>
      </w:r>
    </w:p>
    <w:p>
      <w:pPr>
        <w:pStyle w:val="15"/>
        <w:spacing w:line="400" w:lineRule="exact"/>
        <w:ind w:leftChars="300" w:left="630" w:firstLineChars="0" w:firstLine="0"/>
        <w:rPr>
          <w:rFonts w:ascii="宋体" w:cs="宋体" w:hint="eastAsia"/>
          <w:sz w:val="24"/>
          <w:highlight w:val="auto"/>
        </w:rPr>
      </w:pPr>
      <w:r>
        <w:rPr>
          <w:rFonts w:ascii="宋体" w:cs="宋体" w:hint="eastAsia"/>
          <w:sz w:val="24"/>
          <w:highlight w:val="auto"/>
        </w:rPr>
        <w:t>物镜  40X，数值孔径≥0.65；工作距离≥0.45mm；物镜口径≥M27</w:t>
      </w:r>
    </w:p>
    <w:p>
      <w:pPr>
        <w:pStyle w:val="15"/>
        <w:spacing w:line="400" w:lineRule="exact"/>
        <w:ind w:leftChars="300" w:left="630" w:firstLineChars="0" w:firstLine="0"/>
        <w:rPr>
          <w:rFonts w:ascii="宋体" w:cs="宋体" w:hint="eastAsia"/>
          <w:sz w:val="24"/>
          <w:highlight w:val="auto"/>
        </w:rPr>
      </w:pPr>
      <w:r>
        <w:rPr>
          <w:rFonts w:ascii="宋体" w:cs="宋体" w:hint="eastAsia"/>
          <w:sz w:val="24"/>
          <w:highlight w:val="auto"/>
        </w:rPr>
        <w:t>物镜（油镜）100X，数值孔径：NA≥1.25；工作距离≥0.22mm；物镜口径≥M27</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2.10</w:t>
        <w:tab/>
        <w:t>载物台：面积≥220×170mm，移动范围≥75×50 mm，精度≤0.1mm。手柄控制XY方向同轴转动滚花旋钮调节范围≥15mm。</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2.11</w:t>
        <w:tab/>
        <w:t>聚光镜：非摆动式多功能聚光镜：NA≥0.9/1.25。配置有偏光适配模块。</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2.12</w:t>
        <w:tab/>
        <w:t>集成节能Eco模式，当显微镜在空闲15分钟后会自动进入待机状态。</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2.13</w:t>
        <w:tab/>
        <w:t>机身集成相机供电端口，相机无需额外供电，快速拍摄图像按钮≥2个，可快速获取图像或视频信息。</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2.14</w:t>
        <w:tab/>
        <w:t>原厂同品牌智能彩色相机：CMOS芯片尺寸≥1/1.7英寸，物理像素≥1230万，像素点大小≥3.7μm ×3.7μm，4k分辨率拍摄速度≥30幅/秒，位深≥24bit，可通过显微镜机身或单独电源供电两种方式可供选择，相机机身有独立的电源开关，数据传输接口≥5种，至少包含HDMI/USB2.0/Type C/RJ45/M8，可利用Wi-Fi进行连接控制相机拍照，相机自带OSD图像采集系统，可利用HDMI直接连接显示器进行图像采集，无需额外配备电脑。（需提供制造商官方发布的该款相机的技术宣传手册）</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2.15</w:t>
        <w:tab/>
        <w:t>同品牌软件系统，可兼容IOS系统iPAD及Windows系统电脑：  具有图像采集、放大/缩小、刻度注解及灰度、格状、LUT、直方图。具有自动拍摄、3D多维拍摄、录像，红绿蓝等多荧光通道叠加功能。具有交互式测量功能，长度、面积、角度、灰度、直径、圆等测量功能，具有计数功能和手动景深扩展功能，大图拼接等功能；</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2.16</w:t>
        <w:tab/>
        <w:t>数据处理终端一套（配备分析软件、正版操作系统及办公软件），要求如下：6核12线程，主频2.5 GHz至4.4GHz，16GDDR5，存储系统：≥1 TB； M.2 NVMe固态硬盘做系统盘；配备不小于27寸液晶显示器，1920×1080分辨率及以上。配备具有双面打印功能的激光打印扫描输出一体设备1台。</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★3.配置要求：</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智能编码显微镜主机           1套</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5X 10X 20X 40X 100X物镜      1套</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聚光镜                       1套</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偏光附件                     1套</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载物台                       1套</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同品牌原厂相机               1套</w:t>
      </w:r>
    </w:p>
    <w:p>
      <w:pPr>
        <w:pStyle w:val="15"/>
        <w:spacing w:line="400" w:lineRule="exact"/>
        <w:ind w:leftChars="200" w:left="420" w:firstLineChars="0" w:firstLine="0"/>
        <w:rPr>
          <w:rFonts w:ascii="宋体" w:cs="宋体" w:hint="eastAsia"/>
          <w:sz w:val="24"/>
          <w:highlight w:val="auto"/>
        </w:rPr>
      </w:pPr>
      <w:r>
        <w:rPr>
          <w:rFonts w:ascii="宋体" w:cs="宋体" w:hint="eastAsia"/>
          <w:sz w:val="24"/>
          <w:highlight w:val="auto"/>
        </w:rPr>
        <w:t>数据处理终端             1套</w:t>
      </w:r>
    </w:p>
    <w:p>
      <w:pPr>
        <w:pStyle w:val="15"/>
        <w:spacing w:line="400" w:lineRule="exact"/>
        <w:ind w:leftChars="200" w:left="420" w:firstLineChars="0" w:firstLine="0"/>
        <w:rPr>
          <w:rFonts w:ascii="宋体" w:cs="宋体"/>
          <w:sz w:val="24"/>
          <w:highlight w:val="auto"/>
        </w:rPr>
      </w:pPr>
    </w:p>
    <w:p>
      <w:pPr>
        <w:pStyle w:val="15"/>
        <w:spacing w:line="400" w:lineRule="exact"/>
        <w:outlineLvl w:val="2"/>
        <w:rPr>
          <w:rFonts w:ascii="宋体" w:cs="宋体" w:hint="eastAsia"/>
          <w:b/>
          <w:bCs/>
          <w:sz w:val="24"/>
          <w:highlight w:val="auto"/>
        </w:rPr>
      </w:pPr>
      <w:r>
        <w:rPr>
          <w:rFonts w:ascii="宋体" w:cs="宋体" w:hint="eastAsia"/>
          <w:b/>
          <w:bCs/>
          <w:sz w:val="24"/>
          <w:highlight w:val="auto"/>
        </w:rPr>
        <w:t>03包：</w:t>
      </w:r>
    </w:p>
    <w:p>
      <w:pPr>
        <w:pStyle w:val="15"/>
        <w:spacing w:line="400" w:lineRule="exact"/>
        <w:outlineLvl w:val="2"/>
        <w:rPr>
          <w:rFonts w:ascii="宋体" w:cs="宋体" w:hint="eastAsia"/>
          <w:b/>
          <w:bCs/>
          <w:sz w:val="24"/>
          <w:highlight w:val="auto"/>
        </w:rPr>
      </w:pPr>
      <w:r>
        <w:rPr>
          <w:rFonts w:ascii="宋体" w:cs="宋体" w:hint="eastAsia"/>
          <w:b/>
          <w:bCs/>
          <w:sz w:val="24"/>
          <w:highlight w:val="auto"/>
        </w:rPr>
        <w:t>1、全自动免疫印迹仪</w:t>
      </w:r>
    </w:p>
    <w:p>
      <w:pPr>
        <w:pStyle w:val="15"/>
        <w:spacing w:line="400" w:lineRule="exact"/>
        <w:rPr>
          <w:rFonts w:ascii="宋体" w:cs="宋体" w:hint="eastAsia"/>
          <w:sz w:val="24"/>
          <w:highlight w:val="auto"/>
        </w:rPr>
      </w:pPr>
      <w:r>
        <w:rPr>
          <w:rFonts w:ascii="宋体" w:cs="宋体" w:hint="eastAsia"/>
          <w:sz w:val="24"/>
          <w:highlight w:val="auto"/>
        </w:rPr>
        <w:t>1.主要用途：采用免疫印迹法，与检测试剂盒共同使用，用于检测人血清或血浆样本中的特异性抗原或抗体，实现加温、温育、清洗和分析过程的自动化操作</w:t>
      </w:r>
    </w:p>
    <w:p>
      <w:pPr>
        <w:pStyle w:val="15"/>
        <w:spacing w:line="400" w:lineRule="exact"/>
        <w:rPr>
          <w:rFonts w:ascii="宋体" w:cs="宋体" w:hint="eastAsia"/>
          <w:sz w:val="24"/>
          <w:highlight w:val="auto"/>
        </w:rPr>
      </w:pPr>
      <w:r>
        <w:rPr>
          <w:rFonts w:ascii="宋体" w:cs="宋体" w:hint="eastAsia"/>
          <w:sz w:val="24"/>
          <w:highlight w:val="auto"/>
        </w:rPr>
        <w:t>2.技术参数要求：</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w:t>
        <w:tab/>
        <w:t>一次性可处理≥48个样品，可支持市场上所有免疫印迹膜条实验自动化检测程序。</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2.2</w:t>
        <w:tab/>
        <w:t>有跳步功能，可在仪器运行过程中暂停，随意跳转到任一操作步骤。</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2.3</w:t>
        <w:tab/>
        <w:t>可存储检测程序50个及以上，支持程序的编辑、添加、删除等自定义操作，即时切换，灵活便捷。</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2.4</w:t>
        <w:tab/>
        <w:t>分液通道及分液体积：分液通道5个及以上；分液体积0.5mL-100mL，调节精度0.1mL。</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2.5</w:t>
        <w:tab/>
        <w:t>检测步骤:12个及以上且每个步骤能多次循环。</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2.6</w:t>
        <w:tab/>
        <w:t>注册产品标准：分液准确性&lt;±10%;重复性偏差＜5%；液体残留量＜20μL(提供</w:t>
      </w:r>
      <w:r>
        <w:rPr>
          <w:rFonts w:hint="eastAsia"/>
          <w:highlight w:val="auto"/>
        </w:rPr>
        <w:t>产品说明书</w:t>
      </w:r>
      <w:r>
        <w:rPr>
          <w:rFonts w:ascii="宋体" w:cs="宋体" w:hint="eastAsia"/>
          <w:sz w:val="24"/>
          <w:highlight w:val="auto"/>
        </w:rPr>
        <w:t>或者彩页资料佐证)。</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2.7</w:t>
        <w:tab/>
        <w:t>加样清洗方式:试剂泵及废液泵均为专业蠕动泵,避免真空泵将膜条带入其他试剂槽，避免交叉污染。</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2.8</w:t>
        <w:tab/>
        <w:t>温育槽：仪器可自由设定反应槽的起始位置，节省耗材。反应槽为一次性放入样本温育槽，可同时放入单个或多个膜条，无需转动放入膜条。</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2.9</w:t>
        <w:tab/>
        <w:t>智能吸液技术：零距离接触，吸样针外壁无携带液体。</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ab/>
        <w:t>2.10</w:t>
        <w:tab/>
        <w:t>试剂瓶设计：内置试剂瓶，且每个试剂瓶均有详细刻度设计，底物试剂瓶配套遮光筒。</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w:t>
        <w:tab/>
        <w:t>2.11</w:t>
        <w:tab/>
        <w:t>液体处理方式: 单通道吸液处理，试剂槽倾斜设计，可随意调整倾斜角度，摇床振荡方式：摇摆角度2档可调，3种速度可选 。</w:t>
      </w:r>
    </w:p>
    <w:p>
      <w:pPr>
        <w:pStyle w:val="15"/>
        <w:spacing w:line="400" w:lineRule="exact"/>
        <w:ind w:firstLineChars="0" w:firstLine="0"/>
        <w:rPr>
          <w:rFonts w:ascii="宋体" w:cs="宋体" w:hint="eastAsia"/>
          <w:sz w:val="24"/>
          <w:highlight w:val="auto"/>
        </w:rPr>
      </w:pPr>
      <w:r>
        <w:rPr>
          <w:rFonts w:ascii="宋体" w:cs="宋体" w:hint="eastAsia"/>
          <w:sz w:val="24"/>
          <w:highlight w:val="auto"/>
        </w:rPr>
        <w:t>★3.配置要求：</w:t>
      </w:r>
    </w:p>
    <w:p>
      <w:pPr>
        <w:pStyle w:val="15"/>
        <w:spacing w:line="400" w:lineRule="exact"/>
        <w:ind w:leftChars="100" w:left="210" w:firstLineChars="0" w:firstLine="0"/>
        <w:rPr>
          <w:rFonts w:ascii="宋体" w:cs="宋体" w:hint="eastAsia"/>
          <w:sz w:val="24"/>
          <w:highlight w:val="auto"/>
        </w:rPr>
      </w:pPr>
      <w:r>
        <w:rPr>
          <w:rFonts w:ascii="宋体" w:cs="宋体" w:hint="eastAsia"/>
          <w:sz w:val="24"/>
          <w:highlight w:val="auto"/>
        </w:rPr>
        <w:t>3.1 主机一台。</w:t>
      </w:r>
    </w:p>
    <w:p>
      <w:pPr>
        <w:pStyle w:val="15"/>
        <w:spacing w:line="400" w:lineRule="exact"/>
        <w:ind w:leftChars="100" w:left="210" w:firstLineChars="0" w:firstLine="0"/>
        <w:rPr>
          <w:rFonts w:ascii="宋体" w:cs="宋体" w:hint="eastAsia"/>
          <w:sz w:val="24"/>
          <w:highlight w:val="auto"/>
        </w:rPr>
      </w:pPr>
      <w:r>
        <w:rPr>
          <w:rFonts w:ascii="宋体" w:cs="宋体" w:hint="eastAsia"/>
          <w:sz w:val="24"/>
          <w:highlight w:val="auto"/>
        </w:rPr>
        <w:t>3.2 数据处理终端一套（配备分析软件、正版操作系统及办公软件），要求如下：处理器缓存不低于22.5 MB，8核16线程，主频3.1 GHz至4.5 GHz；内存16 GB（2×8 GB）4800 MHz DDR5 RDIMM ECC内存；存储系统：≥1 TB； M.2 NVMe固态硬盘做系统盘；配备不小于27英寸液晶显示器；具有双面打印功能的激光打印扫描输出一体设备1台。</w:t>
      </w:r>
    </w:p>
    <w:p>
      <w:pPr>
        <w:pStyle w:val="15"/>
        <w:spacing w:line="400" w:lineRule="exact"/>
        <w:ind w:leftChars="100" w:left="210" w:firstLineChars="0" w:firstLine="0"/>
        <w:rPr>
          <w:rFonts w:ascii="宋体" w:cs="宋体" w:hint="eastAsia"/>
          <w:sz w:val="24"/>
          <w:highlight w:val="auto"/>
        </w:rPr>
      </w:pPr>
      <w:r>
        <w:rPr>
          <w:rFonts w:ascii="宋体" w:cs="宋体" w:hint="eastAsia"/>
          <w:sz w:val="24"/>
          <w:highlight w:val="auto"/>
        </w:rPr>
        <w:t>3.3 文档资料（至少含</w:t>
      </w:r>
      <w:r>
        <w:rPr>
          <w:rFonts w:hint="eastAsia"/>
          <w:highlight w:val="auto"/>
        </w:rPr>
        <w:t>操作手册）</w:t>
      </w:r>
      <w:r>
        <w:rPr>
          <w:rFonts w:ascii="宋体" w:cs="宋体" w:hint="eastAsia"/>
          <w:sz w:val="24"/>
          <w:highlight w:val="auto"/>
        </w:rPr>
        <w:t>一套。</w:t>
      </w:r>
    </w:p>
    <w:p>
      <w:pPr>
        <w:pStyle w:val="15"/>
        <w:spacing w:line="400" w:lineRule="exact"/>
        <w:ind w:leftChars="100" w:left="210" w:firstLineChars="0" w:firstLine="0"/>
        <w:rPr>
          <w:rFonts w:ascii="宋体" w:cs="宋体" w:hint="eastAsia"/>
          <w:sz w:val="24"/>
          <w:highlight w:val="auto"/>
        </w:rPr>
      </w:pPr>
      <w:r>
        <w:rPr>
          <w:rFonts w:ascii="宋体" w:cs="宋体" w:hint="eastAsia"/>
          <w:sz w:val="24"/>
          <w:highlight w:val="auto"/>
        </w:rPr>
        <w:t>3.4 平板扫描仪一台。</w:t>
      </w:r>
    </w:p>
    <w:p>
      <w:pPr>
        <w:spacing w:line="360" w:lineRule="auto"/>
        <w:rPr>
          <w:rFonts w:ascii="宋体" w:cs="宋体" w:hint="eastAsia"/>
          <w:sz w:val="24"/>
          <w:highlight w:val="auto"/>
        </w:rPr>
        <w:sectPr>
          <w:pgSz w:w="11906" w:h="16838"/>
          <w:pgMar w:top="1440" w:right="1800" w:bottom="1440" w:left="1800" w:header="851" w:footer="992" w:gutter="0"/>
          <w:docGrid w:type="lines" w:linePitch="312" w:charSpace="0"/>
        </w:sectPr>
      </w:pPr>
    </w:p>
    <w:p>
      <w:pPr>
        <w:rPr>
          <w:highlight w:val="auto"/>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Times New Roman">
    <w:panose1 w:val="02020603050405020304"/>
    <w:charset w:val="00"/>
    <w:family w:val="roman"/>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2"/>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ZjM2MGE1ODMwYzZmODg1MDYzN2I5Y2Q4MzAyMThlYm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after="160" w:line="259" w:lineRule="auto"/>
      <w:jc w:val="both"/>
    </w:pPr>
    <w:rPr>
      <w:rFonts w:ascii="Calibri" w:eastAsia="宋体" w:cs="Times New Roman" w:hAnsi="Calibri"/>
      <w:kern w:val="2"/>
      <w:sz w:val="21"/>
      <w:szCs w:val="24"/>
      <w:lang w:val="en-US" w:eastAsia="zh-CN" w:bidi="ar-SA"/>
    </w:rPr>
  </w:style>
  <w:style w:type="paragraph" w:styleId="2">
    <w:name w:val="heading 2"/>
    <w:basedOn w:val="0"/>
    <w:next w:val="0"/>
    <w:pPr>
      <w:keepNext/>
      <w:keepLines/>
      <w:widowControl w:val="0"/>
      <w:spacing w:before="260" w:after="260" w:line="415" w:lineRule="auto"/>
      <w:outlineLvl w:val="1"/>
    </w:pPr>
    <w:rPr>
      <w:rFonts w:ascii="Arial" w:eastAsia="黑体" w:hAnsi="Arial"/>
      <w:b/>
      <w:bCs/>
      <w:sz w:val="32"/>
      <w:szCs w:val="32"/>
    </w:rPr>
  </w:style>
  <w:style w:type="character" w:default="1" w:styleId="10">
    <w:name w:val="Default Paragraph Font"/>
  </w:style>
  <w:style w:type="paragraph" w:styleId="15">
    <w:name w:val="Normal Indent"/>
    <w:basedOn w:val="0"/>
    <w:pPr>
      <w:ind w:firstLineChars="200" w:firstLine="200"/>
    </w:pPr>
  </w:style>
  <w:style w:type="character" w:styleId="16">
    <w:name w:val="annotation reference"/>
    <w:rPr>
      <w:sz w:val="21"/>
      <w:szCs w:val="21"/>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24</Pages>
  <Words>15031</Words>
  <Characters>16570</Characters>
  <Lines>713</Lines>
  <Paragraphs>342</Paragraphs>
  <CharactersWithSpaces>17279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王念一</cp:lastModifiedBy>
  <cp:revision>0</cp:revision>
  <dcterms:created xsi:type="dcterms:W3CDTF">2025-09-26T08:20:03Z</dcterms:created>
  <dcterms:modified xsi:type="dcterms:W3CDTF">2025-09-28T06:00:27Z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2052-11.1.0.14309</vt:lpwstr>
  </property>
  <property fmtid="{D5CDD505-2E9C-101B-9397-08002B2CF9AE}" pid="3" name="ICV">
    <vt:lpwstr>F1395CD26F0E47A6AF81E875FAC5375F_12</vt:lpwstr>
  </property>
</Properties>
</file>