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rPr>
          <w:rFonts w:ascii="仿宋" w:eastAsia="仿宋" w:cs="Times New Roman" w:hint="eastAsia"/>
          <w:b w:val="0"/>
          <w:bCs/>
          <w:kern w:val="2"/>
          <w:sz w:val="28"/>
          <w:szCs w:val="28"/>
          <w:u w:val="none"/>
          <w:lang w:val="en-US" w:eastAsia="zh-CN" w:bidi="ar-SA"/>
        </w:rPr>
      </w:pPr>
      <w:bookmarkStart w:id="0" w:name="_GoBack"/>
      <w:bookmarkEnd w:id="0"/>
      <w:r>
        <w:rPr>
          <w:rFonts w:ascii="仿宋" w:eastAsia="仿宋" w:cs="Times New Roman" w:hint="eastAsia"/>
          <w:b w:val="0"/>
          <w:bCs/>
          <w:kern w:val="2"/>
          <w:sz w:val="28"/>
          <w:szCs w:val="28"/>
          <w:u w:val="none"/>
          <w:lang w:val="en-US" w:eastAsia="zh-CN" w:bidi="ar-SA"/>
        </w:rPr>
        <w:t>附件：</w:t>
      </w:r>
      <w:bookmarkStart w:id="1" w:name="_Toc8029451"/>
    </w:p>
    <w:p>
      <w:pPr>
        <w:pStyle w:val="4"/>
        <w:spacing w:before="0" w:after="0" w:line="500" w:lineRule="exact"/>
        <w:rPr>
          <w:rFonts w:ascii="仿宋" w:eastAsia="仿宋" w:cs="仿宋"/>
          <w:color w:val="auto"/>
          <w:sz w:val="28"/>
          <w:szCs w:val="28"/>
        </w:rPr>
      </w:pPr>
      <w:bookmarkEnd w:id="1"/>
      <w:r>
        <w:rPr>
          <w:rFonts w:ascii="仿宋" w:eastAsia="仿宋" w:cs="仿宋" w:hint="eastAsia"/>
          <w:color w:val="auto"/>
          <w:sz w:val="28"/>
          <w:szCs w:val="28"/>
        </w:rPr>
        <w:t>一、采购内容</w:t>
      </w:r>
    </w:p>
    <w:tbl>
      <w:tblPr>
        <w:jc w:val="left"/>
        <w:tblInd w:w="0" w:type="dxa"/>
        <w:tblW w:w="499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698"/>
        <w:gridCol w:w="5805"/>
      </w:tblGrid>
      <w:tr>
        <w:trPr>
          <w:trHeight w:val="544"/>
        </w:trPr>
        <w:tc>
          <w:tcPr>
            <w:tcW w:w="1586" w:type="pct"/>
            <w:vAlign w:val="center"/>
          </w:tcPr>
          <w:p>
            <w:pPr>
              <w:jc w:val="center"/>
              <w:rPr>
                <w:rFonts w:ascii="仿宋" w:eastAsia="仿宋" w:cs="仿宋"/>
                <w:b/>
                <w:bCs/>
                <w:color w:val="auto"/>
                <w:sz w:val="24"/>
                <w:szCs w:val="24"/>
              </w:rPr>
            </w:pPr>
            <w:r>
              <w:rPr>
                <w:rFonts w:ascii="仿宋" w:eastAsia="仿宋" w:cs="仿宋" w:hint="eastAsia"/>
                <w:b/>
                <w:bCs/>
                <w:color w:val="auto"/>
                <w:sz w:val="24"/>
                <w:szCs w:val="24"/>
              </w:rPr>
              <w:t>包号</w:t>
            </w:r>
          </w:p>
        </w:tc>
        <w:tc>
          <w:tcPr>
            <w:tcW w:w="3413" w:type="pct"/>
            <w:vAlign w:val="center"/>
          </w:tcPr>
          <w:p>
            <w:pPr>
              <w:jc w:val="center"/>
              <w:rPr>
                <w:rFonts w:ascii="仿宋" w:eastAsia="仿宋" w:cs="仿宋"/>
                <w:b/>
                <w:bCs/>
                <w:color w:val="auto"/>
                <w:sz w:val="24"/>
                <w:szCs w:val="24"/>
              </w:rPr>
            </w:pPr>
            <w:r>
              <w:rPr>
                <w:rFonts w:ascii="仿宋" w:eastAsia="仿宋" w:cs="仿宋" w:hint="eastAsia"/>
                <w:b/>
                <w:bCs/>
                <w:color w:val="auto"/>
                <w:sz w:val="24"/>
                <w:szCs w:val="24"/>
              </w:rPr>
              <w:t>采购内容</w:t>
            </w:r>
          </w:p>
        </w:tc>
      </w:tr>
      <w:tr>
        <w:trPr>
          <w:trHeight w:val="544"/>
        </w:trPr>
        <w:tc>
          <w:tcPr>
            <w:tcW w:w="1586" w:type="pct"/>
            <w:vAlign w:val="center"/>
          </w:tcPr>
          <w:p>
            <w:pPr>
              <w:jc w:val="center"/>
              <w:rPr>
                <w:rFonts w:ascii="仿宋" w:eastAsia="仿宋" w:cs="仿宋"/>
                <w:color w:val="auto"/>
                <w:sz w:val="24"/>
                <w:szCs w:val="24"/>
              </w:rPr>
            </w:pPr>
            <w:r>
              <w:rPr>
                <w:rFonts w:ascii="仿宋" w:eastAsia="仿宋" w:cs="仿宋" w:hint="eastAsia"/>
                <w:color w:val="auto"/>
                <w:sz w:val="24"/>
                <w:szCs w:val="24"/>
              </w:rPr>
              <w:t>第一包</w:t>
            </w:r>
          </w:p>
        </w:tc>
        <w:tc>
          <w:tcPr>
            <w:tcW w:w="3413" w:type="pct"/>
            <w:vAlign w:val="center"/>
          </w:tcPr>
          <w:p>
            <w:pPr>
              <w:jc w:val="center"/>
              <w:rPr>
                <w:rFonts w:ascii="仿宋" w:eastAsia="仿宋" w:cs="仿宋"/>
                <w:color w:val="auto"/>
                <w:sz w:val="24"/>
                <w:szCs w:val="24"/>
              </w:rPr>
            </w:pPr>
            <w:r>
              <w:rPr>
                <w:rFonts w:ascii="仿宋" w:eastAsia="仿宋" w:cs="仿宋" w:hint="eastAsia"/>
                <w:color w:val="auto"/>
                <w:sz w:val="24"/>
                <w:szCs w:val="24"/>
              </w:rPr>
              <w:t>标准物质</w:t>
            </w:r>
          </w:p>
        </w:tc>
      </w:tr>
      <w:tr>
        <w:trPr>
          <w:trHeight w:val="544"/>
        </w:trPr>
        <w:tc>
          <w:tcPr>
            <w:tcW w:w="1586" w:type="pct"/>
            <w:vAlign w:val="center"/>
          </w:tcPr>
          <w:p>
            <w:pPr>
              <w:jc w:val="center"/>
              <w:rPr>
                <w:rFonts w:ascii="仿宋" w:eastAsia="仿宋" w:cs="仿宋"/>
                <w:color w:val="auto"/>
                <w:sz w:val="24"/>
                <w:szCs w:val="24"/>
              </w:rPr>
            </w:pPr>
            <w:r>
              <w:rPr>
                <w:rFonts w:ascii="仿宋" w:eastAsia="仿宋" w:cs="仿宋" w:hint="eastAsia"/>
                <w:color w:val="auto"/>
                <w:sz w:val="24"/>
                <w:szCs w:val="24"/>
              </w:rPr>
              <w:t>第二包</w:t>
            </w:r>
          </w:p>
        </w:tc>
        <w:tc>
          <w:tcPr>
            <w:tcW w:w="3413" w:type="pct"/>
            <w:vAlign w:val="center"/>
          </w:tcPr>
          <w:p>
            <w:pPr>
              <w:jc w:val="center"/>
              <w:rPr>
                <w:rFonts w:ascii="仿宋" w:eastAsia="仿宋" w:cs="仿宋"/>
                <w:color w:val="auto"/>
                <w:sz w:val="24"/>
                <w:szCs w:val="24"/>
              </w:rPr>
            </w:pPr>
            <w:r>
              <w:rPr>
                <w:rFonts w:ascii="仿宋" w:eastAsia="仿宋" w:cs="仿宋" w:hint="eastAsia"/>
                <w:color w:val="auto"/>
                <w:sz w:val="24"/>
                <w:szCs w:val="24"/>
              </w:rPr>
              <w:t>配件类耗材</w:t>
            </w:r>
          </w:p>
        </w:tc>
      </w:tr>
      <w:tr>
        <w:trPr>
          <w:trHeight w:val="544"/>
        </w:trPr>
        <w:tc>
          <w:tcPr>
            <w:tcW w:w="1586" w:type="pct"/>
            <w:vAlign w:val="center"/>
          </w:tcPr>
          <w:p>
            <w:pPr>
              <w:jc w:val="center"/>
              <w:rPr>
                <w:rFonts w:ascii="仿宋" w:eastAsia="仿宋" w:cs="仿宋"/>
                <w:color w:val="auto"/>
                <w:sz w:val="24"/>
                <w:szCs w:val="24"/>
              </w:rPr>
            </w:pPr>
            <w:r>
              <w:rPr>
                <w:rFonts w:ascii="仿宋" w:eastAsia="仿宋" w:cs="仿宋" w:hint="eastAsia"/>
                <w:color w:val="auto"/>
                <w:sz w:val="24"/>
                <w:szCs w:val="24"/>
              </w:rPr>
              <w:t>第三包</w:t>
            </w:r>
          </w:p>
        </w:tc>
        <w:tc>
          <w:tcPr>
            <w:tcW w:w="3413" w:type="pct"/>
            <w:vAlign w:val="center"/>
          </w:tcPr>
          <w:p>
            <w:pPr>
              <w:tabs>
                <w:tab w:val="left" w:pos="2730"/>
                <w:tab w:val="left" w:pos="2835"/>
              </w:tabs>
              <w:adjustRightInd w:val="0"/>
              <w:snapToGrid w:val="0"/>
              <w:jc w:val="center"/>
              <w:rPr>
                <w:rFonts w:ascii="仿宋" w:eastAsia="仿宋" w:cs="仿宋"/>
                <w:color w:val="auto"/>
                <w:sz w:val="24"/>
                <w:szCs w:val="24"/>
              </w:rPr>
            </w:pPr>
            <w:r>
              <w:rPr>
                <w:rFonts w:ascii="仿宋" w:eastAsia="仿宋" w:cs="仿宋" w:hint="eastAsia"/>
                <w:color w:val="auto"/>
                <w:sz w:val="24"/>
                <w:szCs w:val="24"/>
              </w:rPr>
              <w:t>净化类专用耗材</w:t>
            </w:r>
          </w:p>
        </w:tc>
      </w:tr>
      <w:tr>
        <w:trPr>
          <w:trHeight w:val="544"/>
        </w:trPr>
        <w:tc>
          <w:tcPr>
            <w:tcW w:w="1586" w:type="pct"/>
            <w:vAlign w:val="center"/>
          </w:tcPr>
          <w:p>
            <w:pPr>
              <w:jc w:val="center"/>
              <w:rPr>
                <w:rFonts w:ascii="仿宋" w:eastAsia="仿宋" w:cs="仿宋"/>
                <w:color w:val="auto"/>
                <w:sz w:val="24"/>
                <w:szCs w:val="24"/>
              </w:rPr>
            </w:pPr>
            <w:r>
              <w:rPr>
                <w:rFonts w:ascii="仿宋" w:eastAsia="仿宋" w:cs="仿宋" w:hint="eastAsia"/>
                <w:color w:val="auto"/>
                <w:sz w:val="24"/>
                <w:szCs w:val="24"/>
              </w:rPr>
              <w:t>第四包</w:t>
            </w:r>
          </w:p>
        </w:tc>
        <w:tc>
          <w:tcPr>
            <w:tcW w:w="3413" w:type="pct"/>
            <w:vAlign w:val="center"/>
          </w:tcPr>
          <w:p>
            <w:pPr>
              <w:tabs>
                <w:tab w:val="left" w:pos="2730"/>
                <w:tab w:val="left" w:pos="2835"/>
              </w:tabs>
              <w:adjustRightInd w:val="0"/>
              <w:snapToGrid w:val="0"/>
              <w:jc w:val="center"/>
              <w:rPr>
                <w:rFonts w:ascii="仿宋" w:eastAsia="仿宋" w:cs="仿宋"/>
                <w:color w:val="auto"/>
                <w:sz w:val="24"/>
                <w:szCs w:val="24"/>
              </w:rPr>
            </w:pPr>
            <w:r>
              <w:rPr>
                <w:rFonts w:ascii="仿宋" w:eastAsia="仿宋" w:cs="仿宋" w:hint="eastAsia"/>
                <w:color w:val="auto"/>
                <w:sz w:val="24"/>
                <w:szCs w:val="24"/>
              </w:rPr>
              <w:t>毒素类试剂耗材</w:t>
            </w:r>
          </w:p>
        </w:tc>
      </w:tr>
    </w:tbl>
    <w:p>
      <w:pPr>
        <w:pStyle w:val="4"/>
        <w:spacing w:before="0" w:after="0" w:line="500" w:lineRule="exact"/>
        <w:rPr>
          <w:rFonts w:ascii="仿宋" w:eastAsia="仿宋" w:cs="仿宋"/>
          <w:color w:val="auto"/>
          <w:sz w:val="28"/>
          <w:szCs w:val="28"/>
        </w:rPr>
      </w:pPr>
      <w:r>
        <w:rPr>
          <w:rFonts w:ascii="仿宋" w:eastAsia="仿宋" w:cs="仿宋" w:hint="eastAsia"/>
          <w:color w:val="auto"/>
          <w:sz w:val="28"/>
          <w:szCs w:val="28"/>
        </w:rPr>
        <w:t>二、采购清单及技术要求</w:t>
      </w:r>
    </w:p>
    <w:p>
      <w:pPr>
        <w:jc w:val="center"/>
        <w:rPr>
          <w:rFonts w:ascii="仿宋" w:eastAsia="仿宋" w:cs="仿宋"/>
          <w:b/>
          <w:color w:val="auto"/>
          <w:kern w:val="2"/>
          <w:sz w:val="28"/>
          <w:szCs w:val="28"/>
        </w:rPr>
      </w:pPr>
      <w:r>
        <w:rPr>
          <w:rFonts w:ascii="仿宋" w:eastAsia="仿宋" w:cs="仿宋" w:hint="eastAsia"/>
          <w:b/>
          <w:color w:val="auto"/>
          <w:kern w:val="2"/>
          <w:sz w:val="28"/>
          <w:szCs w:val="28"/>
        </w:rPr>
        <w:t>第一包：标准物质</w:t>
      </w:r>
    </w:p>
    <w:tbl>
      <w:tblPr>
        <w:jc w:val="center"/>
        <w:tblW w:w="9961"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609"/>
        <w:gridCol w:w="825"/>
        <w:gridCol w:w="1736"/>
        <w:gridCol w:w="3342"/>
        <w:gridCol w:w="1083"/>
        <w:gridCol w:w="728"/>
        <w:gridCol w:w="386"/>
        <w:gridCol w:w="1252"/>
      </w:tblGrid>
      <w:tr>
        <w:trPr>
          <w:tblHeader/>
        </w:trP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b/>
                <w:bCs/>
                <w:color w:val="auto"/>
                <w:sz w:val="24"/>
                <w:szCs w:val="24"/>
              </w:rPr>
            </w:pPr>
            <w:r>
              <w:rPr>
                <w:rFonts w:ascii="仿宋" w:eastAsia="仿宋" w:cs="仿宋" w:hint="eastAsia"/>
                <w:b/>
                <w:bCs/>
                <w:color w:val="auto"/>
                <w:sz w:val="24"/>
                <w:szCs w:val="24"/>
              </w:rPr>
              <w:t>序号</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b/>
                <w:bCs/>
                <w:color w:val="auto"/>
                <w:sz w:val="24"/>
                <w:szCs w:val="24"/>
              </w:rPr>
            </w:pPr>
            <w:r>
              <w:rPr>
                <w:rFonts w:ascii="仿宋" w:eastAsia="仿宋" w:cs="仿宋" w:hint="eastAsia"/>
                <w:b/>
                <w:bCs/>
                <w:color w:val="auto"/>
                <w:sz w:val="24"/>
                <w:szCs w:val="24"/>
              </w:rPr>
              <w:t>需求部门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b/>
                <w:bCs/>
                <w:color w:val="auto"/>
                <w:sz w:val="24"/>
                <w:szCs w:val="24"/>
              </w:rPr>
            </w:pPr>
            <w:r>
              <w:rPr>
                <w:rFonts w:ascii="仿宋" w:eastAsia="仿宋" w:cs="仿宋" w:hint="eastAsia"/>
                <w:b/>
                <w:bCs/>
                <w:color w:val="auto"/>
                <w:sz w:val="24"/>
                <w:szCs w:val="24"/>
              </w:rPr>
              <w:t>品名（标的名称）</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b/>
                <w:bCs/>
                <w:color w:val="auto"/>
                <w:sz w:val="24"/>
                <w:szCs w:val="24"/>
              </w:rPr>
            </w:pPr>
            <w:r>
              <w:rPr>
                <w:rFonts w:ascii="仿宋" w:eastAsia="仿宋" w:cs="仿宋" w:hint="eastAsia"/>
                <w:b/>
                <w:bCs/>
                <w:color w:val="auto"/>
                <w:sz w:val="24"/>
                <w:szCs w:val="24"/>
              </w:rPr>
              <w:t>规格型号及技术要求</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Style w:val="33"/>
                <w:rFonts w:ascii="仿宋" w:eastAsia="仿宋" w:cs="仿宋"/>
                <w:color w:val="auto"/>
                <w:sz w:val="24"/>
                <w:szCs w:val="24"/>
              </w:rPr>
            </w:pPr>
            <w:r>
              <w:rPr>
                <w:rStyle w:val="31"/>
                <w:color w:val="auto"/>
                <w:sz w:val="24"/>
                <w:szCs w:val="24"/>
              </w:rPr>
              <w:t>★</w:t>
            </w:r>
            <w:r>
              <w:rPr>
                <w:rStyle w:val="31"/>
                <w:rFonts w:ascii="仿宋" w:eastAsia="仿宋" w:cs="仿宋"/>
                <w:color w:val="auto"/>
                <w:sz w:val="24"/>
                <w:szCs w:val="24"/>
              </w:rPr>
              <w:t>限价</w:t>
            </w:r>
            <w:r>
              <w:rPr>
                <w:rStyle w:val="32"/>
                <w:rFonts w:ascii="仿宋" w:eastAsia="仿宋" w:cs="仿宋"/>
                <w:color w:val="auto"/>
                <w:sz w:val="24"/>
                <w:szCs w:val="24"/>
              </w:rPr>
              <w:t>单</w:t>
            </w:r>
            <w:r>
              <w:rPr>
                <w:rStyle w:val="33"/>
                <w:rFonts w:ascii="仿宋" w:eastAsia="仿宋" w:cs="仿宋" w:hint="eastAsia"/>
                <w:color w:val="auto"/>
                <w:sz w:val="24"/>
                <w:szCs w:val="24"/>
              </w:rPr>
              <w:t>价</w:t>
            </w:r>
          </w:p>
          <w:p>
            <w:pPr>
              <w:widowControl/>
              <w:snapToGrid w:val="0"/>
              <w:jc w:val="center"/>
              <w:textAlignment w:val="center"/>
              <w:rPr>
                <w:rFonts w:ascii="仿宋" w:eastAsia="仿宋" w:cs="仿宋"/>
                <w:b/>
                <w:bCs/>
                <w:color w:val="auto"/>
                <w:sz w:val="24"/>
                <w:szCs w:val="24"/>
              </w:rPr>
            </w:pPr>
            <w:r>
              <w:rPr>
                <w:rStyle w:val="33"/>
                <w:rFonts w:ascii="仿宋" w:eastAsia="仿宋" w:cs="仿宋" w:hint="eastAsia"/>
                <w:color w:val="auto"/>
                <w:sz w:val="24"/>
                <w:szCs w:val="24"/>
              </w:rPr>
              <w:t>（元）</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b/>
                <w:bCs/>
                <w:color w:val="auto"/>
                <w:sz w:val="24"/>
                <w:szCs w:val="24"/>
              </w:rPr>
            </w:pPr>
            <w:r>
              <w:rPr>
                <w:rStyle w:val="34"/>
                <w:rFonts w:ascii="仿宋" w:eastAsia="仿宋" w:cs="仿宋" w:hint="eastAsia"/>
                <w:color w:val="auto"/>
                <w:sz w:val="24"/>
                <w:szCs w:val="24"/>
              </w:rPr>
              <w:t>预估</w:t>
            </w:r>
            <w:r>
              <w:rPr>
                <w:rStyle w:val="33"/>
                <w:rFonts w:ascii="仿宋" w:eastAsia="仿宋" w:cs="仿宋" w:hint="eastAsia"/>
                <w:color w:val="auto"/>
                <w:sz w:val="24"/>
                <w:szCs w:val="24"/>
              </w:rPr>
              <w:t>需求数量</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b/>
                <w:bCs/>
                <w:color w:val="auto"/>
                <w:sz w:val="24"/>
                <w:szCs w:val="24"/>
              </w:rPr>
            </w:pPr>
            <w:r>
              <w:rPr>
                <w:rFonts w:ascii="仿宋" w:eastAsia="仿宋" w:cs="仿宋" w:hint="eastAsia"/>
                <w:b/>
                <w:bCs/>
                <w:color w:val="auto"/>
                <w:sz w:val="24"/>
                <w:szCs w:val="24"/>
              </w:rPr>
              <w:t>数量单位</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Style w:val="33"/>
                <w:rFonts w:ascii="仿宋" w:eastAsia="仿宋" w:cs="仿宋"/>
                <w:color w:val="auto"/>
                <w:sz w:val="24"/>
                <w:szCs w:val="24"/>
              </w:rPr>
            </w:pPr>
            <w:r>
              <w:rPr>
                <w:rStyle w:val="31"/>
                <w:color w:val="auto"/>
                <w:sz w:val="24"/>
                <w:szCs w:val="24"/>
              </w:rPr>
              <w:t>★</w:t>
            </w:r>
            <w:r>
              <w:rPr>
                <w:rStyle w:val="32"/>
                <w:rFonts w:ascii="仿宋" w:eastAsia="仿宋" w:cs="仿宋"/>
                <w:color w:val="auto"/>
                <w:sz w:val="24"/>
                <w:szCs w:val="24"/>
              </w:rPr>
              <w:t>单价限价总</w:t>
            </w:r>
            <w:r>
              <w:rPr>
                <w:rStyle w:val="33"/>
                <w:rFonts w:ascii="仿宋" w:eastAsia="仿宋" w:cs="仿宋" w:hint="eastAsia"/>
                <w:color w:val="auto"/>
                <w:sz w:val="24"/>
                <w:szCs w:val="24"/>
              </w:rPr>
              <w:t>价</w:t>
            </w:r>
          </w:p>
          <w:p>
            <w:pPr>
              <w:widowControl/>
              <w:snapToGrid w:val="0"/>
              <w:jc w:val="center"/>
              <w:textAlignment w:val="center"/>
              <w:rPr>
                <w:rFonts w:ascii="仿宋" w:eastAsia="仿宋" w:cs="仿宋"/>
                <w:b/>
                <w:bCs/>
                <w:color w:val="auto"/>
                <w:sz w:val="24"/>
                <w:szCs w:val="24"/>
              </w:rPr>
            </w:pPr>
            <w:r>
              <w:rPr>
                <w:rStyle w:val="33"/>
                <w:rFonts w:ascii="仿宋" w:eastAsia="仿宋" w:cs="仿宋" w:hint="eastAsia"/>
                <w:color w:val="auto"/>
                <w:sz w:val="24"/>
                <w:szCs w:val="24"/>
              </w:rPr>
              <w:t>（元）</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无需氯水</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1000mL，符合GB/T 5750.11</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20</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1800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饱和硫化氢溶液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CAS：7783-06-4，100mL</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硫酸标准滴定液CAS：7664-93-9</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C（1/2H2SO4）=0.1mol/L，500mL，有标准物质证书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36</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180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盐酸标准滴定液（500ml）</w:t>
              <w:br/>
              <w:t>CAS：7647-01-0</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0.1mol/L，500mL，有标准物质证书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36</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20</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720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盐酸标准滴定液(250ml)</w:t>
              <w:br/>
              <w:t>CAS：7647-01-0</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1.0mol/L，250mL，有标准物质证书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36</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108</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硫代硫酸钠标准滴定液CAS：7772-98-7</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0.1mol/L，250mL/瓶，有标准物质证书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8</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240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7</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氢氧化钠标准滴定液</w:t>
              <w:br/>
              <w:t>CAS：1310-73-2</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0.1mol/L，500mL，有标准物质证书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36</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25</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8</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氢氧化钾标准滴定液</w:t>
              <w:br/>
              <w:t>CAS：1310-58-3</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0.1mol/L，500mL，有标准物质证书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36</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180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9</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硝酸银滴定溶液标准物质</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0.1mol/L，500mL，有标准物质证书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180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亚铁氰化钾三水合标准品</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＞99%，1g，有标准物质证书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315</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945</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11</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标准溶液 锂</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1000mg/L，50mL，有标准物质证书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标准溶液 磷</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1000mg/L，50mL，有标准物质证书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13</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标准溶液 硫</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1000mg/L，50mL，有标准物质证书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14</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标准溶液 铷</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1000mg/L，50mL，有标准物质证书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15</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标准溶液 金</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1000mg/L，50mL，有标准物质证书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225</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225</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16</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一甲基砷（MMA）标液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100mg/L，2mL，有标准物质证书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17</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二甲基砷（DMA）标液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100mg/L，2mL，有标准物质证书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110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330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18</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砷甜菜碱（AsB）标液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0.518μmol/g，2mL，有标准物质证书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403</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1209</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19</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ICP分析用（24种重金属混标）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100μg/mL,50ml/瓶，有标准物质证书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胡萝卜-生物成分分析标准物质</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GBW10047(GSB-25)，30g，有标准物质证书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693</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693</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21</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湖南大米-生物成分分析标准物质</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GBW10045a(GSB-23a)，30g   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693</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693</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鸡肉-成分分析标准物质</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GBW10018(GSB-9)，35g，有标准物质证书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1200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23</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大虾-成分分析标准物质</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GBW10050(GSB-28)，12g，有标准物质证书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1200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24</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ICP-MS调谐液a</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1μg/LBe、Ce、Fe、In、Li、Mg、Pb、U，有标准物质证书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1068</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1068</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25</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ICP-MS调谐液b</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10μg/LCo、1μg/LCe ，有标准物质证书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708</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708</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26</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ICP-MS内标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125mL，有标准物质证书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2004</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2004</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27</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lang w:val="en-US" w:eastAsia="zh-CN"/>
              </w:rPr>
              <w:t>352</w:t>
            </w:r>
            <w:r>
              <w:rPr>
                <w:rFonts w:ascii="仿宋" w:eastAsia="仿宋" w:cs="仿宋" w:hint="eastAsia"/>
                <w:color w:val="auto"/>
                <w:sz w:val="24"/>
                <w:szCs w:val="24"/>
              </w:rPr>
              <w:t>种农药定制混标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hint="eastAsia"/>
                <w:color w:val="auto"/>
                <w:sz w:val="24"/>
                <w:szCs w:val="24"/>
              </w:rPr>
            </w:pPr>
            <w:r>
              <w:rPr>
                <w:rFonts w:ascii="仿宋" w:eastAsia="仿宋" w:cs="仿宋" w:hint="eastAsia"/>
                <w:color w:val="auto"/>
                <w:sz w:val="24"/>
                <w:szCs w:val="24"/>
              </w:rPr>
              <w:t>★</w:t>
            </w:r>
            <w:r>
              <w:rPr>
                <w:rFonts w:ascii="仿宋" w:eastAsia="仿宋" w:cs="仿宋" w:hint="eastAsia"/>
                <w:color w:val="auto"/>
                <w:sz w:val="24"/>
                <w:szCs w:val="24"/>
                <w:lang w:val="en-US" w:eastAsia="zh-CN"/>
              </w:rPr>
              <w:t>GB 23200.121-2026</w:t>
            </w:r>
            <w:r>
              <w:rPr>
                <w:rFonts w:ascii="仿宋" w:eastAsia="仿宋" w:cs="仿宋" w:hint="eastAsia"/>
                <w:color w:val="auto"/>
                <w:sz w:val="24"/>
                <w:szCs w:val="24"/>
              </w:rPr>
              <w:t>农残混标套装，100μg/ml，7*1mL一套</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hint="eastAsia"/>
                <w:color w:val="auto"/>
                <w:sz w:val="24"/>
                <w:szCs w:val="24"/>
              </w:rPr>
            </w:pPr>
            <w:r>
              <w:rPr>
                <w:rFonts w:ascii="仿宋" w:eastAsia="仿宋" w:cs="仿宋" w:hint="eastAsia"/>
                <w:color w:val="auto"/>
                <w:sz w:val="24"/>
                <w:szCs w:val="24"/>
              </w:rPr>
              <w:t>8550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7</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套</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59850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28</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3种沙星内标混标（诺氟沙星-d5、环丙沙星-d8、恩诺沙星-d5)</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190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950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29</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2种磺胺内标混标（磺胺邻二甲氧嘧啶-D3、磺胺间二甲氧嘧啶-D6）</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152</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760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恩诺沙星</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38</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152</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31</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环丙沙星</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67</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201</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氧氟沙星</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34</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102</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33</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20种沙星混标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w:t>
            </w:r>
            <w:r>
              <w:rPr>
                <w:rFonts w:ascii="仿宋" w:eastAsia="仿宋" w:cs="仿宋" w:hint="eastAsia"/>
                <w:color w:val="auto"/>
                <w:sz w:val="24"/>
                <w:szCs w:val="24"/>
                <w:lang w:eastAsia="zh-CN"/>
              </w:rPr>
              <w:t>符合</w:t>
            </w:r>
            <w:r>
              <w:rPr>
                <w:rFonts w:ascii="仿宋" w:eastAsia="仿宋" w:cs="仿宋" w:hint="eastAsia"/>
                <w:color w:val="auto"/>
                <w:sz w:val="24"/>
                <w:szCs w:val="24"/>
              </w:rPr>
              <w:t>GB 31657.2-2021</w:t>
            </w:r>
            <w:r>
              <w:rPr>
                <w:rFonts w:ascii="仿宋" w:eastAsia="仿宋" w:cs="仿宋" w:hint="eastAsia"/>
                <w:color w:val="auto"/>
                <w:sz w:val="24"/>
                <w:szCs w:val="24"/>
                <w:lang w:eastAsia="zh-CN"/>
              </w:rPr>
              <w:t>，</w:t>
            </w:r>
            <w:r>
              <w:rPr>
                <w:rFonts w:ascii="仿宋" w:eastAsia="仿宋" w:cs="仿宋" w:hint="eastAsia"/>
                <w:color w:val="auto"/>
                <w:sz w:val="24"/>
                <w:szCs w:val="24"/>
              </w:rPr>
              <w:t>100μg/mL，大于1mL，有效期一年以上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353</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1412</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34</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23种磺胺混标（GB/T 21316-2007）</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285</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1140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35</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8种雌激素类同位素药物混标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w:t>
            </w:r>
            <w:r>
              <w:rPr>
                <w:rFonts w:ascii="仿宋" w:eastAsia="仿宋" w:cs="仿宋" w:hint="eastAsia"/>
                <w:color w:val="auto"/>
                <w:sz w:val="24"/>
                <w:szCs w:val="24"/>
                <w:lang w:eastAsia="zh-CN"/>
              </w:rPr>
              <w:t>符合</w:t>
            </w:r>
            <w:r>
              <w:rPr>
                <w:rFonts w:ascii="仿宋" w:eastAsia="仿宋" w:cs="仿宋" w:hint="eastAsia"/>
                <w:color w:val="auto"/>
                <w:sz w:val="24"/>
                <w:szCs w:val="24"/>
              </w:rPr>
              <w:t>GB 31658.9-2021</w:t>
            </w:r>
            <w:r>
              <w:rPr>
                <w:rFonts w:ascii="仿宋" w:eastAsia="仿宋" w:cs="仿宋" w:hint="eastAsia"/>
                <w:color w:val="auto"/>
                <w:sz w:val="24"/>
                <w:szCs w:val="24"/>
                <w:lang w:eastAsia="zh-CN"/>
              </w:rPr>
              <w:t>，</w:t>
            </w:r>
            <w:r>
              <w:rPr>
                <w:rFonts w:ascii="仿宋" w:eastAsia="仿宋" w:cs="仿宋" w:hint="eastAsia"/>
                <w:color w:val="auto"/>
                <w:sz w:val="24"/>
                <w:szCs w:val="24"/>
              </w:rPr>
              <w:t>100μg/mL，大于1mL，有效期一年以上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2002</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8008</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36</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20种抗球虫药物混标（SN/T 3144-2011）</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1330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5320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37</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2种孔雀石绿内标混标（GB/T 19857-2005)</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111</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444</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38</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孔雀石绿及隐色孔雀石绿混标（GB/T 19857-2005)</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67</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268</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39</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结晶紫及隐色结晶紫混标（GB/T 19857-2005)</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200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炔诺孕酮-D6</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5"/>
                <w:rFonts w:ascii="仿宋" w:eastAsia="仿宋" w:cs="仿宋"/>
                <w:color w:val="auto"/>
                <w:sz w:val="24"/>
                <w:szCs w:val="24"/>
              </w:rPr>
              <w:t>1000μg/mL，大于1mL，有效期一年以上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2400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4800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41</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7种性激素内标混标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w:t>
            </w:r>
            <w:r>
              <w:rPr>
                <w:rFonts w:ascii="仿宋" w:eastAsia="仿宋" w:cs="仿宋" w:hint="eastAsia"/>
                <w:color w:val="auto"/>
                <w:sz w:val="24"/>
                <w:szCs w:val="24"/>
                <w:lang w:eastAsia="zh-CN"/>
              </w:rPr>
              <w:t>符合</w:t>
            </w:r>
            <w:r>
              <w:rPr>
                <w:rFonts w:ascii="仿宋" w:eastAsia="仿宋" w:cs="仿宋" w:hint="eastAsia"/>
                <w:color w:val="auto"/>
                <w:sz w:val="24"/>
                <w:szCs w:val="24"/>
              </w:rPr>
              <w:t>GB 31656.14-2022</w:t>
            </w:r>
            <w:r>
              <w:rPr>
                <w:rFonts w:hint="eastAsia"/>
                <w:color w:val="auto"/>
                <w:sz w:val="24"/>
                <w:szCs w:val="24"/>
                <w:lang w:eastAsia="zh-CN"/>
              </w:rPr>
              <w:t>，</w:t>
            </w:r>
            <w:r>
              <w:rPr>
                <w:rFonts w:ascii="仿宋" w:eastAsia="仿宋" w:cs="仿宋" w:hint="eastAsia"/>
                <w:color w:val="auto"/>
                <w:sz w:val="24"/>
                <w:szCs w:val="24"/>
              </w:rPr>
              <w:t>1000μg/mL，大于1mL，有效期一年以上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1330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3990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27种性激素混标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w:t>
            </w:r>
            <w:r>
              <w:rPr>
                <w:rFonts w:ascii="仿宋" w:eastAsia="仿宋" w:cs="仿宋" w:hint="eastAsia"/>
                <w:color w:val="auto"/>
                <w:sz w:val="24"/>
                <w:szCs w:val="24"/>
                <w:lang w:eastAsia="zh-CN"/>
              </w:rPr>
              <w:t>符合</w:t>
            </w:r>
            <w:r>
              <w:rPr>
                <w:rFonts w:ascii="仿宋" w:eastAsia="仿宋" w:cs="仿宋" w:hint="eastAsia"/>
                <w:color w:val="auto"/>
                <w:sz w:val="24"/>
                <w:szCs w:val="24"/>
              </w:rPr>
              <w:t>GB 31656.14-2022</w:t>
            </w:r>
            <w:r>
              <w:rPr>
                <w:rFonts w:hint="eastAsia"/>
                <w:color w:val="auto"/>
                <w:sz w:val="24"/>
                <w:szCs w:val="18"/>
                <w:lang w:eastAsia="zh-CN"/>
              </w:rPr>
              <w:t>，</w:t>
            </w:r>
            <w:r>
              <w:rPr>
                <w:rFonts w:ascii="仿宋" w:eastAsia="仿宋" w:cs="仿宋" w:hint="eastAsia"/>
                <w:color w:val="auto"/>
                <w:sz w:val="24"/>
                <w:szCs w:val="24"/>
              </w:rPr>
              <w:t>1000μg/mL，大于1mL，有效期一年以上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1800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43</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甲睾酮-D3</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187</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374</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44</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金刚烷胺-D15</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400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45</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11种硝基咪唑混标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w:t>
            </w:r>
            <w:r>
              <w:rPr>
                <w:rFonts w:ascii="仿宋" w:eastAsia="仿宋" w:cs="仿宋" w:hint="eastAsia"/>
                <w:color w:val="auto"/>
                <w:sz w:val="24"/>
                <w:szCs w:val="24"/>
                <w:lang w:eastAsia="zh-CN"/>
              </w:rPr>
              <w:t>符合</w:t>
            </w:r>
            <w:r>
              <w:rPr>
                <w:rFonts w:ascii="仿宋" w:eastAsia="仿宋" w:cs="仿宋" w:hint="eastAsia"/>
                <w:color w:val="auto"/>
                <w:sz w:val="24"/>
                <w:szCs w:val="24"/>
              </w:rPr>
              <w:t>GB 31657.4-2025</w:t>
            </w:r>
            <w:r>
              <w:rPr>
                <w:rFonts w:ascii="仿宋" w:eastAsia="仿宋" w:cs="仿宋" w:hint="eastAsia"/>
                <w:color w:val="auto"/>
                <w:sz w:val="24"/>
                <w:szCs w:val="24"/>
                <w:lang w:eastAsia="zh-CN"/>
              </w:rPr>
              <w:t>，</w:t>
            </w:r>
            <w:r>
              <w:rPr>
                <w:rFonts w:ascii="仿宋" w:eastAsia="仿宋" w:cs="仿宋" w:hint="eastAsia"/>
                <w:color w:val="auto"/>
                <w:sz w:val="24"/>
                <w:szCs w:val="24"/>
              </w:rPr>
              <w:t>100μg/mL，大于1mL，有效期一年以上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273</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546</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46</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5种硝基咪唑内标混标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宋体" w:eastAsia="宋体" w:cs="宋体" w:hint="eastAsia"/>
                <w:color w:val="auto"/>
                <w:sz w:val="24"/>
                <w:szCs w:val="24"/>
              </w:rPr>
              <w:t>★</w:t>
            </w:r>
            <w:r>
              <w:rPr>
                <w:rFonts w:ascii="仿宋" w:eastAsia="仿宋" w:cs="仿宋" w:hint="eastAsia"/>
                <w:color w:val="auto"/>
                <w:sz w:val="24"/>
                <w:szCs w:val="24"/>
                <w:lang w:eastAsia="zh-CN"/>
              </w:rPr>
              <w:t>符合</w:t>
            </w:r>
            <w:r>
              <w:rPr>
                <w:rFonts w:ascii="仿宋" w:eastAsia="仿宋" w:cs="仿宋" w:hint="eastAsia"/>
                <w:color w:val="auto"/>
                <w:sz w:val="24"/>
                <w:szCs w:val="24"/>
              </w:rPr>
              <w:t>GB 31657.4-2025</w:t>
            </w:r>
            <w:r>
              <w:rPr>
                <w:rFonts w:ascii="仿宋" w:eastAsia="仿宋" w:cs="仿宋" w:hint="eastAsia"/>
                <w:color w:val="auto"/>
                <w:sz w:val="24"/>
                <w:szCs w:val="24"/>
                <w:lang w:eastAsia="zh-CN"/>
              </w:rPr>
              <w:t>，</w:t>
            </w:r>
            <w:r>
              <w:rPr>
                <w:rFonts w:ascii="仿宋" w:eastAsia="仿宋" w:cs="仿宋" w:hint="eastAsia"/>
                <w:color w:val="auto"/>
                <w:sz w:val="24"/>
                <w:szCs w:val="24"/>
              </w:rPr>
              <w:t>100μg/mL，大于1mL，有效期一年以上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333</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666</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47</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11种激素残留混标（农业部1031-1）</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151</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302</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48</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4种硝基咪唑内标混标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宋体" w:eastAsia="宋体" w:cs="宋体" w:hint="eastAsia"/>
                <w:color w:val="auto"/>
                <w:sz w:val="24"/>
                <w:szCs w:val="24"/>
              </w:rPr>
              <w:t>★</w:t>
            </w:r>
            <w:r>
              <w:rPr>
                <w:rFonts w:ascii="仿宋" w:eastAsia="仿宋" w:cs="仿宋" w:hint="eastAsia"/>
                <w:color w:val="auto"/>
                <w:sz w:val="24"/>
                <w:szCs w:val="24"/>
                <w:lang w:eastAsia="zh-CN"/>
              </w:rPr>
              <w:t>符合</w:t>
            </w:r>
            <w:r>
              <w:rPr>
                <w:rFonts w:ascii="仿宋" w:eastAsia="仿宋" w:cs="仿宋" w:hint="eastAsia"/>
                <w:color w:val="auto"/>
                <w:sz w:val="24"/>
                <w:szCs w:val="24"/>
              </w:rPr>
              <w:t>GB 31658.23-2022</w:t>
            </w:r>
            <w:r>
              <w:rPr>
                <w:rFonts w:ascii="仿宋" w:eastAsia="仿宋" w:cs="仿宋" w:hint="eastAsia"/>
                <w:color w:val="auto"/>
                <w:sz w:val="24"/>
                <w:szCs w:val="24"/>
                <w:lang w:eastAsia="zh-CN"/>
              </w:rPr>
              <w:t>，</w:t>
            </w:r>
            <w:r>
              <w:rPr>
                <w:rFonts w:ascii="仿宋" w:eastAsia="仿宋" w:cs="仿宋" w:hint="eastAsia"/>
                <w:color w:val="auto"/>
                <w:sz w:val="24"/>
                <w:szCs w:val="24"/>
              </w:rPr>
              <w:t>100μg/mL，大于1mL，有效期一年以上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238</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476</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49</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妥曲珠利-D3</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200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红木素</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CAS:6983-79-5，＞100mg，有效期一年以上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1005</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1005</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51</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降红木素</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CAS:542-40-5，＞100mg，有效期一年以上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3908</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3908</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泛酸钙内标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CAS:356786-94-2，＞0.1g，有效期一年以上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3576</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3576</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53</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米酵菌酸</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CAS:11076-19-0，＞0.1g，有效期一年以上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5490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5490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54</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环己基氨基磺酸纳-D4</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CAS:/，＞0.1g，有效期一年以上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3135</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3135</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55</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盐酸吡哆醇内标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CAS:/，＞0.1g，有效期一年以上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119</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119</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56</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D3-盐酸吡哆醛</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CAS:1173023-49-8，＞0.1g，有效期一年以上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2230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2230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57</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D3-双盐酸吡哆胺</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CAS:1173023-45-4，＞0.1g，有效期一年以上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2583</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2583</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58</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氨苯砜-D8</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527</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1054</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59</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N-乙酰氨苯砜-D8</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5"/>
                <w:rFonts w:ascii="仿宋" w:eastAsia="仿宋" w:cs="仿宋"/>
                <w:color w:val="auto"/>
                <w:sz w:val="24"/>
                <w:szCs w:val="24"/>
              </w:rPr>
              <w:t>1000μg/mL，大于1mL，有效期一年以上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570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1140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氨苯砜2种混标(SN/T 2219-2008)</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950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1900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61</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维吉尼亚霉素M1</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676</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676</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11种青霉素类固体药物混标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宋体" w:eastAsia="宋体" w:cs="宋体" w:hint="eastAsia"/>
                <w:color w:val="auto"/>
                <w:sz w:val="24"/>
                <w:szCs w:val="24"/>
              </w:rPr>
              <w:t>★</w:t>
            </w:r>
            <w:r>
              <w:rPr>
                <w:rFonts w:ascii="仿宋" w:eastAsia="仿宋" w:cs="仿宋" w:hint="eastAsia"/>
                <w:color w:val="auto"/>
                <w:sz w:val="24"/>
                <w:szCs w:val="24"/>
                <w:lang w:eastAsia="zh-CN"/>
              </w:rPr>
              <w:t>符合</w:t>
            </w:r>
            <w:r>
              <w:rPr>
                <w:rFonts w:ascii="仿宋" w:eastAsia="仿宋" w:cs="仿宋" w:hint="eastAsia"/>
                <w:color w:val="auto"/>
                <w:sz w:val="24"/>
                <w:szCs w:val="24"/>
              </w:rPr>
              <w:t>GB 31656.12-2021</w:t>
            </w:r>
            <w:r>
              <w:rPr>
                <w:rFonts w:hint="eastAsia"/>
                <w:color w:val="auto"/>
                <w:sz w:val="24"/>
                <w:szCs w:val="18"/>
                <w:lang w:eastAsia="zh-CN"/>
              </w:rPr>
              <w:t>，</w:t>
            </w:r>
            <w:r>
              <w:rPr>
                <w:rFonts w:ascii="仿宋" w:eastAsia="仿宋" w:cs="仿宋" w:hint="eastAsia"/>
                <w:color w:val="auto"/>
                <w:sz w:val="24"/>
                <w:szCs w:val="24"/>
              </w:rPr>
              <w:t>大于等于100μg，有效期一年以上，纯度大于95%</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542</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2710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63</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甲硝唑-D3</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81</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162</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64</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4种青霉素内标固体药物混标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★符合GB 31656.12-2021</w:t>
            </w:r>
            <w:r>
              <w:rPr>
                <w:rFonts w:ascii="仿宋" w:eastAsia="仿宋" w:cs="仿宋" w:hint="eastAsia"/>
                <w:color w:val="auto"/>
                <w:sz w:val="24"/>
                <w:szCs w:val="24"/>
                <w:lang w:eastAsia="zh-CN"/>
              </w:rPr>
              <w:t>，</w:t>
            </w:r>
            <w:r>
              <w:rPr>
                <w:rFonts w:ascii="仿宋" w:eastAsia="仿宋" w:cs="仿宋" w:hint="eastAsia"/>
                <w:color w:val="auto"/>
                <w:sz w:val="24"/>
                <w:szCs w:val="24"/>
              </w:rPr>
              <w:t>大于等于100μg，有效期一年以上，纯度大于95%</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466</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2330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65</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氨苄西林-D5</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固标，大于等于100μg，有效期一年以上，纯度大于90%</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618</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1854</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66</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雌三醇等8种混标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w:t>
            </w:r>
            <w:r>
              <w:rPr>
                <w:rFonts w:ascii="仿宋" w:eastAsia="仿宋" w:cs="仿宋" w:hint="eastAsia"/>
                <w:color w:val="auto"/>
                <w:sz w:val="24"/>
                <w:szCs w:val="24"/>
                <w:lang w:eastAsia="zh-CN"/>
              </w:rPr>
              <w:t>符合</w:t>
            </w:r>
            <w:r>
              <w:rPr>
                <w:rFonts w:ascii="仿宋" w:eastAsia="仿宋" w:cs="仿宋" w:hint="eastAsia"/>
                <w:color w:val="auto"/>
                <w:sz w:val="24"/>
                <w:szCs w:val="24"/>
              </w:rPr>
              <w:t>GB 31658.9-2021</w:t>
            </w:r>
            <w:r>
              <w:rPr>
                <w:rFonts w:ascii="仿宋" w:eastAsia="仿宋" w:cs="仿宋" w:hint="eastAsia"/>
                <w:color w:val="auto"/>
                <w:sz w:val="24"/>
                <w:szCs w:val="24"/>
                <w:lang w:eastAsia="zh-CN"/>
              </w:rPr>
              <w:t>，</w:t>
            </w:r>
            <w:r>
              <w:rPr>
                <w:rFonts w:ascii="仿宋" w:eastAsia="仿宋" w:cs="仿宋" w:hint="eastAsia"/>
                <w:color w:val="auto"/>
                <w:sz w:val="24"/>
                <w:szCs w:val="24"/>
              </w:rPr>
              <w:t>100μg/mL，大于1mL，有效期一年以上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570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1140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67</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16种苯并咪唑类药物残留混标（GB/T 21324-2007）</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665</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1995</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68</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邻氯青霉素</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固标，大于等于25mg，有效期一年以上，纯度大于90%</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27</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162</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69</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青霉素G</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固标，大于等于100mg，有效期一年以上，纯度大于90%</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124</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744</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70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苯唑青霉素</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固标，大于等于100mg，有效期一年以上，纯度大于90%</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360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71</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青霉素V</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固标，大于等于100mg，有效期一年以上，纯度大于90%</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240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1440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72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甲氧苯青霉素钠</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固标，大于等于100mg，有效期一年以上，纯度大于90%</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285</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1710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73</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萘夫西林</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固标，大于等于10mg，有效期一年以上，纯度大于90%</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27</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162</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74</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双氯西林</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固标，大于等于25mg，有效期一年以上，纯度大于90%</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308</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1848</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75</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哌拉西林</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固标，大于等于100mg，有效期一年以上，纯度大于90%</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476</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2856</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76</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氨苄西林</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固标，大于等于100mg，有效期一年以上，纯度大于90%</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43</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258</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77</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阿莫西林</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固标，大于等于100mg，有效期一年以上，纯度大于90%</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57</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342</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78</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四环素（固标）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固标，大于等于100mg，有效期一年以上，纯度大于90%</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129</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645</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79</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金霉素（固标）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固标，大于等于100mg，有效期一年以上，纯度大于90%</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86</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430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80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土霉素（固标）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固标，大于等于100mg，有效期一年以上，纯度大于90%</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86</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430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81</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多西环素（固标）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固标，大于等于100mg，有效期一年以上，纯度大于90%</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129</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645</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82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四环素</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114</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570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83</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金霉素</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76</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380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84</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土霉素</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94</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470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85</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多西环素</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219</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1095</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86</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青霉素G-D7</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固标，大于等于100μg，有效期一年以上，纯度大于90%</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325</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975</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87</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阿莫西林-D4</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固标，大于等于100μg，有效期一年以上，纯度大于90%</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855</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2565</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88</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萘夫西林-D6</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固标，大于等于100μg，有效期一年以上，纯度大于90%</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1107</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3321</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89</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氯唑西林-13C4</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固标，大于等于1mg，有效期一年以上，纯度大于90%</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3192</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9576</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90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头孢喹肟-D7</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固标，大于等于1mg，有效期一年以上，纯度大于90%</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2850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8550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91</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环氧七氯B</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43</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129</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92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头孢氨苄-d5</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固标，大于等于1mg，有效期一年以上，纯度大于90%</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4190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12570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93</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氟雷拉纳</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固标，大于等于5mg，有效期一年以上，纯度大于90%</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181</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724</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94</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氟雷拉纳-d4</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固标，大于等于5mg，有效期一年以上，纯度大于90%</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2018</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8072</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95</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青霉素V-d5</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固标，大于等于1mg，有效期一年以上，纯度大于90%</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1976</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5928</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96</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芬氟拉明</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1000μg/mL，大于1mL，有效期一年以上（无液体标，可固体，大于等于10mg，纯度≥98%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167</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501</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97</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西布曲明</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1000μg/mL，大于1mL，有效期一年以上（无液体标，可固体，大于等于10mg，纯度≥98%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94</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282</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98</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N.N-双去甲基西布曲明</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1000μg/mL，大于1mL，有效期一年以上（无液体标，可固体，大于等于10mg，纯度≥98%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111</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333</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99</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N-单去甲基西布曲明</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1000μg/mL，大于1mL，有效期一年以上（无液体标，可固体，大于等于10mg，纯度≥98%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151</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453</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酚酞</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1000μg/mL，大于1mL，有效期一年以上（无液体标，可固体，大于等于10mg，纯度≥98%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44</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132</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101</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豪莫西地那非</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1000μg/mL，大于1mL，有效期一年以上（无液体标，可固体，大于等于10mg，纯度≥98%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285</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855</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羟基豪莫西地那非</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1000μg/mL，大于1mL，有效期一年以上（无液体标，可固体，大于等于10mg，纯度≥98%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285</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855</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103</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硫代艾地那非</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1000μg/mL，大于1mL，有效期一年以上（无液体标，可固体，大于等于10mg，纯度≥98%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200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104</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伐地那非</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1000μg/mL，大于1mL，有效期一年以上（无液体标，可固体，大于等于10mg，纯度≥98%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107</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321</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105</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那红地那非</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1000μg/mL，大于1mL，有效期一年以上（无液体标，可固体，大于等于10mg，纯度≥98%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266</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798</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106</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红地那非</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1000μg/mL，大于1mL，有效期一年以上（无液体标，可固体，大于等于10mg，纯度≥98%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151</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453</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107</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西地那非</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1000μg/mL，大于1mL，有效期一年以上（无液体标，可固体，大于等于10mg，纯度≥98%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54</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162</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108</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氨基他达拉非</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1000μg/mL，大于1mL，有效期一年以上（无液体标，可固体，大于等于10mg，纯度≥98%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110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330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109</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他达拉非</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1000μg/mL，大于1mL，有效期一年以上（无液体标，可固体，大于等于10mg，纯度≥98%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270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110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伪伐地那非</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1000μg/mL，大于1mL，有效期一年以上（无液体标，可固体，大于等于10mg，纯度≥98%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266</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798</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111</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那莫西地那非</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1000μg/mL，大于1mL，有效期一年以上（无液体标，可固体，大于等于10mg，纯度≥98%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366</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1098</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112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呋塞米</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1000μg/mL，大于1mL，有效期一年以上（无液体标，可固体，大于等于250mg，纯度≥98%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184</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552</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113</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氢氯噻嗪</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1000μg/mL，大于1mL，有效期一年以上（无液体标，可固体，大于等于10mg，纯度≥98%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54</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162</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114</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洛伐他汀羟酸钠盐</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1000μg/mL，大于1mL，有效期一年以上（无液体标，可固体，大于等于10mg，纯度≥98%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798</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2394</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115</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美伐他汀</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1000μg/mL，大于1mL，有效期一年以上（无液体标，可固体，大于等于10mg，纯度≥98%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295</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885</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116</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脱羟基洛伐他丁</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1000μg/mL，大于1mL，有效期一年以上（无液体标，可固体，大于等于10mg，纯度≥98%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808</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2424</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117</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洛伐他汀</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1000μg/mL，大于1mL，有效期一年以上（无液体标，可固体，大于等于10mg，纯度≥98%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86</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258</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118</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辛伐他汀</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1000μg/mL，大于1mL，有效期一年以上（无液体标，可固体，大于等于100mg，纯度≥98%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480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119</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11种（那非和拉非）混标（bjs201710）</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▲100μg/mL，大于1mL，有效期一年以上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409</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2045</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120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尼莫地平</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1000μg/mL，大于1mL，有效期一年以上（无液体标，可固体，大于等于10mg，纯度≥98%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54</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162</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121</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尼索地平</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1000μg/mL，大于1mL，有效期一年以上（无液体标，可固体，大于等于10mg，纯度≥98%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54</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162</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122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非洛地平</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1000μg/mL，大于1mL，有效期一年以上（无液体标，可固体，大于等于10mg，纯度≥98%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54</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162</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123</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尼群地平</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1000μg/mL，大于1mL，有效期一年以上（无液体标，可固体，大于等于10mg，纯度≥98%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54</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162</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124</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硝苯地平</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1000μg/mL，大于1mL，有效期一年以上（无液体标，可固体，大于等于10mg，纯度≥98%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335</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1005</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125</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氨氯地平</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1000μg/mL，大于1mL，有效期一年以上（无液体标，可固体，大于等于50mg，纯度≥98%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177</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531</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126</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卡托普利</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1000μg/mL，大于1mL，有效期一年以上（无液体标，可固体，大于等于10mg，纯度≥98%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73</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219</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127</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哌唑嗪</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1000μg/mL，大于1mL，有效期一年以上（无液体标，可固体，大于等于10mg，纯度≥98%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67</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201</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128</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利血平</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1000μg/mL，大于1mL，有效期一年以上（无液体标，可固体，大于等于10mg，纯度≥98%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66</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198</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129</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阿替洛尔</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1000μg/mL，大于1mL，有效期一年以上（无液体标，可固体，大于等于10mg，纯度≥98%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233</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699</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130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盐酸可乐定</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1000μg/mL，大于1mL，有效期一年以上（无液体标，可固体，大于等于10mg，纯度≥98%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54</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162</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131</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维生素A（视黄醇）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大于100mg（CAS：68-26-8）</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716</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716</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132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农药混标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宋体" w:eastAsia="宋体" w:cs="宋体" w:hint="eastAsia"/>
                <w:color w:val="auto"/>
                <w:sz w:val="24"/>
                <w:szCs w:val="24"/>
                <w:lang w:eastAsia="zh-CN"/>
              </w:rPr>
              <w:t>★</w:t>
            </w:r>
            <w:r>
              <w:rPr>
                <w:rFonts w:ascii="仿宋" w:eastAsia="仿宋" w:cs="仿宋" w:hint="eastAsia"/>
                <w:color w:val="auto"/>
                <w:sz w:val="24"/>
                <w:szCs w:val="24"/>
                <w:lang w:eastAsia="zh-CN"/>
              </w:rPr>
              <w:t>符合GB23200.113-2026，</w:t>
            </w:r>
            <w:r>
              <w:rPr>
                <w:rFonts w:ascii="仿宋" w:eastAsia="仿宋" w:cs="仿宋" w:hint="eastAsia"/>
                <w:color w:val="auto"/>
                <w:sz w:val="24"/>
                <w:szCs w:val="24"/>
              </w:rPr>
              <w:t>2*1ml，100μg/mL</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3226</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套</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32260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133</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倍硫磷-D6</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100μg/ml</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190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380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134</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N-亚硝基二甲胺</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100μg/ml</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105</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210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135</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N-亚硝基二甲胺-D6</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100μg/ml</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219</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438</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136</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香兰素-D3</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固标，大于等于20mg，有效期一年以上，纯度大于98%（CAS:74495-74-2)</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642</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1284</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137</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甲基香兰素D3</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固标，大于等于20mg，有效期一年以上，纯度大于98%(CAS:143318-06-3)</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428</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856</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138</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乙基香兰素-D5</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固标，大于等于10mg，有效期一年以上，纯度大于98%(CAS:1335401-74-5)</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969</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1938</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139</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香豆素-D4</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固标，大于等于10mg，有效期一年以上，纯度大于98%(CAS:185056-83-1)</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1735</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3470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140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鼠尾草酸</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10mg</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bottom"/>
              <w:rPr>
                <w:rFonts w:ascii="仿宋" w:eastAsia="仿宋" w:cs="仿宋"/>
                <w:color w:val="auto"/>
                <w:sz w:val="24"/>
                <w:szCs w:val="24"/>
              </w:rPr>
            </w:pPr>
            <w:r>
              <w:rPr>
                <w:rFonts w:ascii="仿宋" w:eastAsia="仿宋" w:cs="仿宋" w:hint="eastAsia"/>
                <w:color w:val="auto"/>
                <w:sz w:val="24"/>
                <w:szCs w:val="24"/>
              </w:rPr>
              <w:t>333</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333</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141</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鼠尾草酚</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top"/>
              <w:rPr>
                <w:rFonts w:ascii="仿宋" w:eastAsia="仿宋" w:cs="仿宋"/>
                <w:color w:val="auto"/>
                <w:sz w:val="24"/>
                <w:szCs w:val="24"/>
              </w:rPr>
            </w:pPr>
            <w:r>
              <w:rPr>
                <w:rFonts w:ascii="仿宋" w:eastAsia="仿宋" w:cs="仿宋" w:hint="eastAsia"/>
                <w:color w:val="auto"/>
                <w:sz w:val="24"/>
                <w:szCs w:val="24"/>
              </w:rPr>
              <w:t>1mg</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129</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top"/>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258</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142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角黄素(斑蝥黄)</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top"/>
              <w:rPr>
                <w:rFonts w:ascii="仿宋" w:eastAsia="仿宋" w:cs="仿宋"/>
                <w:color w:val="auto"/>
                <w:sz w:val="24"/>
                <w:szCs w:val="24"/>
              </w:rPr>
            </w:pPr>
            <w:r>
              <w:rPr>
                <w:rFonts w:ascii="仿宋" w:eastAsia="仿宋" w:cs="仿宋" w:hint="eastAsia"/>
                <w:color w:val="auto"/>
                <w:sz w:val="24"/>
                <w:szCs w:val="24"/>
              </w:rPr>
              <w:t>1mg</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1045</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top"/>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1045</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143</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洛替拉纳</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bottom"/>
              <w:rPr>
                <w:rFonts w:ascii="仿宋" w:eastAsia="仿宋" w:cs="仿宋"/>
                <w:color w:val="auto"/>
                <w:sz w:val="24"/>
                <w:szCs w:val="24"/>
              </w:rPr>
            </w:pPr>
            <w:r>
              <w:rPr>
                <w:rFonts w:ascii="仿宋" w:eastAsia="仿宋" w:cs="仿宋" w:hint="eastAsia"/>
                <w:color w:val="auto"/>
                <w:sz w:val="24"/>
                <w:szCs w:val="24"/>
              </w:rPr>
              <w:t>10mg</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1267</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1267</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144</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洛替拉纳-D4</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bottom"/>
              <w:rPr>
                <w:rFonts w:ascii="仿宋" w:eastAsia="仿宋" w:cs="仿宋"/>
                <w:color w:val="auto"/>
                <w:sz w:val="24"/>
                <w:szCs w:val="24"/>
              </w:rPr>
            </w:pPr>
            <w:r>
              <w:rPr>
                <w:rFonts w:ascii="仿宋" w:eastAsia="仿宋" w:cs="仿宋" w:hint="eastAsia"/>
                <w:color w:val="auto"/>
                <w:sz w:val="24"/>
                <w:szCs w:val="24"/>
              </w:rPr>
              <w:t>10mg</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4085</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4085</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145</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阿福拉纳</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bottom"/>
              <w:rPr>
                <w:rFonts w:ascii="仿宋" w:eastAsia="仿宋" w:cs="仿宋"/>
                <w:color w:val="auto"/>
                <w:sz w:val="24"/>
                <w:szCs w:val="24"/>
              </w:rPr>
            </w:pPr>
            <w:r>
              <w:rPr>
                <w:rFonts w:ascii="仿宋" w:eastAsia="仿宋" w:cs="仿宋" w:hint="eastAsia"/>
                <w:color w:val="auto"/>
                <w:sz w:val="24"/>
                <w:szCs w:val="24"/>
              </w:rPr>
              <w:t>10mg</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1267</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1267</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146</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沙罗拉纳</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bottom"/>
              <w:rPr>
                <w:rFonts w:ascii="仿宋" w:eastAsia="仿宋" w:cs="仿宋"/>
                <w:color w:val="auto"/>
                <w:sz w:val="24"/>
                <w:szCs w:val="24"/>
              </w:rPr>
            </w:pPr>
            <w:r>
              <w:rPr>
                <w:rFonts w:ascii="仿宋" w:eastAsia="仿宋" w:cs="仿宋" w:hint="eastAsia"/>
                <w:color w:val="auto"/>
                <w:sz w:val="24"/>
                <w:szCs w:val="24"/>
              </w:rPr>
              <w:t>10mg</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1267</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1267</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147</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空白基质样品（饲料类）</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符合NY/T  2071-2011、  NY/T 4124-2022、NY/T 1970-2010方法</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6175</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12350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148</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苯甲酸、山梨酸、糖精钠质控样（固体基质）</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0.1g/kg~0.2g/kg；0.5g/kg~1g/kg。</w:t>
              <w:br/>
              <w:t>大于200g，有效期6个月以上；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4940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4940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149</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苯甲酸、山梨酸、糖精钠质控样（液体基质）</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0.1g/kg~0.2g/kg；0.5g/kg~1g/kg。</w:t>
              <w:br/>
              <w:t>大于200g，有效期6个月以上；</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3230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6460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150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理化二室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生活饮用水/矿泉水中溴酸盐质控样</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0.005mg/L-0.015mg/L左右</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1140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2280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151</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苯系物标准品</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≥1000μg/mL,1ml/瓶。有标准物质证书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152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乙二醇醚及醚酯标准品</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≥1000μg/mL,1ml/瓶。有标准物质证书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330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330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153</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卤代烃标准品</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≥1000μg/mL,1ml/瓶。有标准物质证书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154</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多环芳烃标准品</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≥1000μg/mL,1ml/瓶。有标准物质证书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270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540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155</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游离二异氰酸酯</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≥100μg/mL,1ml/瓶 。有标准物质证书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420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420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156</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7</w:t>
            </w:r>
            <w:r>
              <w:rPr>
                <w:rStyle w:val="36"/>
                <w:rFonts w:ascii="仿宋" w:eastAsia="仿宋" w:cs="仿宋"/>
                <w:color w:val="auto"/>
                <w:sz w:val="24"/>
                <w:szCs w:val="24"/>
              </w:rPr>
              <w:t>种增塑剂混标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(DIBP、DBP、BBP、DEHP,DNOP )1000mg/m(,DINP、DIDP)1000mg/mL10000mg/mL 。1ml/瓶。</w:t>
            </w:r>
            <w:r>
              <w:rPr>
                <w:rFonts w:ascii="仿宋" w:eastAsia="仿宋" w:cs="仿宋" w:hint="eastAsia"/>
                <w:color w:val="auto"/>
                <w:sz w:val="24"/>
                <w:szCs w:val="24"/>
                <w:highlight w:val="auto"/>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380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支</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1140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157</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pH</w:t>
            </w:r>
            <w:r>
              <w:rPr>
                <w:rStyle w:val="36"/>
                <w:rFonts w:ascii="仿宋" w:eastAsia="仿宋" w:cs="仿宋"/>
                <w:color w:val="auto"/>
                <w:sz w:val="24"/>
                <w:szCs w:val="24"/>
              </w:rPr>
              <w:t>缓冲液（</w:t>
            </w:r>
            <w:r>
              <w:rPr>
                <w:rStyle w:val="37"/>
                <w:rFonts w:ascii="仿宋" w:eastAsia="仿宋" w:cs="仿宋" w:hint="eastAsia"/>
                <w:color w:val="auto"/>
                <w:sz w:val="24"/>
                <w:szCs w:val="24"/>
              </w:rPr>
              <w:t>4.01</w:t>
            </w:r>
            <w:r>
              <w:rPr>
                <w:rStyle w:val="36"/>
                <w:rFonts w:ascii="仿宋" w:eastAsia="仿宋" w:cs="仿宋"/>
                <w:color w:val="auto"/>
                <w:sz w:val="24"/>
                <w:szCs w:val="24"/>
              </w:rPr>
              <w:t>）</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≥250mL/瓶，有标准物质证书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180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158</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pH</w:t>
            </w:r>
            <w:r>
              <w:rPr>
                <w:rStyle w:val="36"/>
                <w:rFonts w:ascii="仿宋" w:eastAsia="仿宋" w:cs="仿宋"/>
                <w:color w:val="auto"/>
                <w:sz w:val="24"/>
                <w:szCs w:val="24"/>
              </w:rPr>
              <w:t>缓冲液（</w:t>
            </w:r>
            <w:r>
              <w:rPr>
                <w:rStyle w:val="37"/>
                <w:rFonts w:ascii="仿宋" w:eastAsia="仿宋" w:cs="仿宋" w:hint="eastAsia"/>
                <w:color w:val="auto"/>
                <w:sz w:val="24"/>
                <w:szCs w:val="24"/>
              </w:rPr>
              <w:t>7.00</w:t>
            </w:r>
            <w:r>
              <w:rPr>
                <w:rStyle w:val="36"/>
                <w:rFonts w:ascii="仿宋" w:eastAsia="仿宋" w:cs="仿宋"/>
                <w:color w:val="auto"/>
                <w:sz w:val="24"/>
                <w:szCs w:val="24"/>
              </w:rPr>
              <w:t>）</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≥250mL/瓶，有标准物质证书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180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159</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pH</w:t>
            </w:r>
            <w:r>
              <w:rPr>
                <w:rStyle w:val="36"/>
                <w:rFonts w:ascii="仿宋" w:eastAsia="仿宋" w:cs="仿宋"/>
                <w:color w:val="auto"/>
                <w:sz w:val="24"/>
                <w:szCs w:val="24"/>
              </w:rPr>
              <w:t>缓冲液（</w:t>
            </w:r>
            <w:r>
              <w:rPr>
                <w:rStyle w:val="37"/>
                <w:rFonts w:ascii="仿宋" w:eastAsia="仿宋" w:cs="仿宋" w:hint="eastAsia"/>
                <w:color w:val="auto"/>
                <w:sz w:val="24"/>
                <w:szCs w:val="24"/>
              </w:rPr>
              <w:t>9.21</w:t>
            </w:r>
            <w:r>
              <w:rPr>
                <w:rStyle w:val="36"/>
                <w:rFonts w:ascii="仿宋" w:eastAsia="仿宋" w:cs="仿宋"/>
                <w:color w:val="auto"/>
                <w:sz w:val="24"/>
                <w:szCs w:val="24"/>
              </w:rPr>
              <w:t>）</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≥250mL/瓶，有标准物质证书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180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160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禁用偶氮标准品</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≥1000μg/mL,1ml/瓶，有标准物质证书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1440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4320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161</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ICP</w:t>
            </w:r>
            <w:r>
              <w:rPr>
                <w:rStyle w:val="36"/>
                <w:rFonts w:ascii="仿宋" w:eastAsia="仿宋" w:cs="仿宋"/>
                <w:color w:val="auto"/>
                <w:sz w:val="24"/>
                <w:szCs w:val="24"/>
              </w:rPr>
              <w:t>分析用（</w:t>
            </w:r>
            <w:r>
              <w:rPr>
                <w:rStyle w:val="37"/>
                <w:rFonts w:ascii="仿宋" w:eastAsia="仿宋" w:cs="仿宋" w:hint="eastAsia"/>
                <w:color w:val="auto"/>
                <w:sz w:val="24"/>
                <w:szCs w:val="24"/>
              </w:rPr>
              <w:t>26</w:t>
            </w:r>
            <w:r>
              <w:rPr>
                <w:rStyle w:val="36"/>
                <w:rFonts w:ascii="仿宋" w:eastAsia="仿宋" w:cs="仿宋"/>
                <w:color w:val="auto"/>
                <w:sz w:val="24"/>
                <w:szCs w:val="24"/>
              </w:rPr>
              <w:t>种重金属混标）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≥100μg/mL,50ml/瓶，有标准物质证书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162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多溴联苯醚混标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≥100μg/mL,1ml/瓶，有标准物质证书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960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163</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多溴联苯混标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≥100μg/mL,1ml/瓶，有标准物质证书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960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164</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六价铬标准溶液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≥1000μg/mL,50ml/瓶， 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165</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氰化物标准溶液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≥1000μg/mL,50ml/瓶,有标准物质证书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166</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挥发酚标准溶液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≥1000μg/mL,50ml/瓶，有标准物质证书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167</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硫化物标准溶液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≥1000μg/mL,50ml/瓶，有标准物质证书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168</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氟化物标准溶液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≥1000μg/mL,50ml/瓶 ，有标准物质证书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169</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氯化物标准溶液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≥1000μg/mL,50ml/瓶，有标准物质证书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360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170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硝酸盐标准溶液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≥1000μg/mL,50ml/瓶，有标准物质证书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171</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硫酸盐标准溶液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≥1000μg/mL,50ml/瓶，有标准物质证书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360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172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磷酸盐标准溶液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≥1000μg/mL,50ml/瓶，有标准物质证书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173</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总磷标准溶液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≥1000μg/mL,50ml/瓶，有标准物质证书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174</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总氮标准溶液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≥1000μg/mL,50ml/，有标准物质证书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175</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甲醛标准溶液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≥1000μg/mL,50ml/瓶，有标准物质证书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360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176</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氨氮标准溶液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≥1000μg/mL,50ml/瓶，有标准物质证书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177</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六六六标准溶液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≥1000μg/mL,1ml/瓶，有标准物质证书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180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180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178</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滴滴涕标准溶液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≥1000μg/mL,1ml/瓶，有标准物质证书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180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180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179</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苯并芘标准溶液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≥99%，1g/瓶   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212</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424</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180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6</w:t>
            </w:r>
            <w:r>
              <w:rPr>
                <w:rStyle w:val="36"/>
                <w:rFonts w:ascii="仿宋" w:eastAsia="仿宋" w:cs="仿宋"/>
                <w:color w:val="auto"/>
                <w:sz w:val="24"/>
                <w:szCs w:val="24"/>
              </w:rPr>
              <w:t>种苯系物混标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▲含苯、甲苯、乙苯、邻二甲苯、间二甲苯、对二甲苯≥1000μg/mL,1ml/瓶，有标准物质证书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181</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石油类标准溶液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≥1000μg/mL,1ml/瓶，有标准物质证书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78</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156</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182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环氧乙烷标准溶液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≥1000μg/mL,1ml/瓶，有标准物质证书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240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480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183</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四氯化碳标准溶液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≥100μg/mL,1ml/瓶，有标准物质证书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184</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三氯甲烷标准溶液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≥100μg/mL,1ml/瓶，有标准物质证书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185</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硼标准溶液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≥1000μg/mL,50ml/瓶，有标准物质证书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186</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亚硝酸盐氮标准溶液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≥1000μg/mL,50ml/瓶，有标准物质证书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187</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碘化物标准溶液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≥1000μg/mL,50ml/瓶，有标准物质证书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188</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乙醛标准溶液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≥1000μg/mL,50ml/瓶，有标准物质证书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189</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溴酸盐标准溶液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≥1000μg/mL,50ml/瓶，有标准物质证书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190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亚氯酸盐标准溶液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≥1000μg/mL,50ml/瓶，有标准物质证书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191</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十二烷基苯磺酸钠标准溶液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≥1000μg/mL,50ml/瓶，有标准物质证书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192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苯胺标准溶液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≥1000μg/mL,1ml/瓶，有标准物质证书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193</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溴标准溶液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≥1000μg/mL,1ml/瓶，有标准物质证书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194</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亚硫酸根标准溶液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≥1000μg/mL,50ml/瓶，有标准物质证书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195</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有机磷混标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≥1000μg/mL,1ml/瓶，有标准物质证书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196</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氯酸盐标准溶液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≥1000μg/mL,50ml/瓶   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180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720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197</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56</w:t>
            </w:r>
            <w:r>
              <w:rPr>
                <w:rStyle w:val="36"/>
                <w:rFonts w:ascii="仿宋" w:eastAsia="仿宋" w:cs="仿宋"/>
                <w:color w:val="auto"/>
                <w:sz w:val="24"/>
                <w:szCs w:val="24"/>
              </w:rPr>
              <w:t>种</w:t>
            </w:r>
            <w:r>
              <w:rPr>
                <w:rStyle w:val="37"/>
                <w:rFonts w:ascii="仿宋" w:eastAsia="仿宋" w:cs="仿宋" w:hint="eastAsia"/>
                <w:color w:val="auto"/>
                <w:sz w:val="24"/>
                <w:szCs w:val="24"/>
              </w:rPr>
              <w:t>VOC</w:t>
            </w:r>
            <w:r>
              <w:rPr>
                <w:rStyle w:val="36"/>
                <w:rFonts w:ascii="仿宋" w:eastAsia="仿宋" w:cs="仿宋"/>
                <w:color w:val="auto"/>
                <w:sz w:val="24"/>
                <w:szCs w:val="24"/>
              </w:rPr>
              <w:t>混标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★≥1000μg/mL,1ml/瓶，有标准物质证书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240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480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198</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11</w:t>
            </w:r>
            <w:r>
              <w:rPr>
                <w:rStyle w:val="36"/>
                <w:rFonts w:ascii="仿宋" w:eastAsia="仿宋" w:cs="仿宋"/>
                <w:color w:val="auto"/>
                <w:sz w:val="24"/>
                <w:szCs w:val="24"/>
              </w:rPr>
              <w:t>种卤代烃混标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≥1000μg/mL,1ml/瓶，有标准物质证书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199</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甲醇中</w:t>
            </w:r>
            <w:r>
              <w:rPr>
                <w:rStyle w:val="37"/>
                <w:rFonts w:ascii="仿宋" w:eastAsia="仿宋" w:cs="仿宋" w:hint="eastAsia"/>
                <w:color w:val="auto"/>
                <w:sz w:val="24"/>
                <w:szCs w:val="24"/>
              </w:rPr>
              <w:t>1,2-</w:t>
            </w:r>
            <w:r>
              <w:rPr>
                <w:rStyle w:val="36"/>
                <w:rFonts w:ascii="仿宋" w:eastAsia="仿宋" w:cs="仿宋"/>
                <w:color w:val="auto"/>
                <w:sz w:val="24"/>
                <w:szCs w:val="24"/>
              </w:rPr>
              <w:t>二氯苯</w:t>
            </w:r>
            <w:r>
              <w:rPr>
                <w:rStyle w:val="37"/>
                <w:rFonts w:ascii="仿宋" w:eastAsia="仿宋" w:cs="仿宋" w:hint="eastAsia"/>
                <w:color w:val="auto"/>
                <w:sz w:val="24"/>
                <w:szCs w:val="24"/>
              </w:rPr>
              <w:t>-d4</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≥1000μg/mL,1ml/瓶，有标准物质证书。   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180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180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200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甲醇中</w:t>
            </w:r>
            <w:r>
              <w:rPr>
                <w:rStyle w:val="37"/>
                <w:rFonts w:ascii="仿宋" w:eastAsia="仿宋" w:cs="仿宋" w:hint="eastAsia"/>
                <w:color w:val="auto"/>
                <w:sz w:val="24"/>
                <w:szCs w:val="24"/>
              </w:rPr>
              <w:t>24</w:t>
            </w:r>
            <w:r>
              <w:rPr>
                <w:rStyle w:val="36"/>
                <w:rFonts w:ascii="仿宋" w:eastAsia="仿宋" w:cs="仿宋"/>
                <w:color w:val="auto"/>
                <w:sz w:val="24"/>
                <w:szCs w:val="24"/>
              </w:rPr>
              <w:t>种</w:t>
            </w:r>
            <w:r>
              <w:rPr>
                <w:rStyle w:val="37"/>
                <w:rFonts w:ascii="仿宋" w:eastAsia="仿宋" w:cs="仿宋" w:hint="eastAsia"/>
                <w:color w:val="auto"/>
                <w:sz w:val="24"/>
                <w:szCs w:val="24"/>
              </w:rPr>
              <w:t>voc</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≥1000μg/mL,1ml/瓶，有标准物质证书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201</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二氧化硫标准溶液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≥1000μg/mL,50ml/瓶，有标准物质证书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202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二氧化氮标准溶液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≥1000μg/mL,50ml/瓶，有标准物质证书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203</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氮氧化物标准溶液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≥1000μg/mL,50ml/瓶，有标准物质证书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204</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8</w:t>
            </w:r>
            <w:r>
              <w:rPr>
                <w:rStyle w:val="36"/>
                <w:rFonts w:ascii="仿宋" w:eastAsia="仿宋" w:cs="仿宋"/>
                <w:color w:val="auto"/>
                <w:sz w:val="24"/>
                <w:szCs w:val="24"/>
              </w:rPr>
              <w:t>种有机氯混标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≥1000μg/mL,1ml/瓶，有标准物质证书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205</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64</w:t>
            </w:r>
            <w:r>
              <w:rPr>
                <w:rStyle w:val="36"/>
                <w:rFonts w:ascii="仿宋" w:eastAsia="仿宋" w:cs="仿宋"/>
                <w:color w:val="auto"/>
                <w:sz w:val="24"/>
                <w:szCs w:val="24"/>
              </w:rPr>
              <w:t>种半挥发性物质混标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≥1000μg/mL,1ml/瓶，有标准物质证书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206</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25</w:t>
            </w:r>
            <w:r>
              <w:rPr>
                <w:rStyle w:val="36"/>
                <w:rFonts w:ascii="仿宋" w:eastAsia="仿宋" w:cs="仿宋"/>
                <w:color w:val="auto"/>
                <w:sz w:val="24"/>
                <w:szCs w:val="24"/>
              </w:rPr>
              <w:t>种挥发性物质混标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≥1000μg/mL,1ml/瓶，有标准物质证书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207</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34</w:t>
            </w:r>
            <w:r>
              <w:rPr>
                <w:rStyle w:val="36"/>
                <w:rFonts w:ascii="仿宋" w:eastAsia="仿宋" w:cs="仿宋"/>
                <w:color w:val="auto"/>
                <w:sz w:val="24"/>
                <w:szCs w:val="24"/>
              </w:rPr>
              <w:t>种有机氯和氯苯混标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≥1000μg/mL,1ml/瓶，有标准物质证书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208</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N-</w:t>
            </w:r>
            <w:r>
              <w:rPr>
                <w:rStyle w:val="36"/>
                <w:rFonts w:ascii="仿宋" w:eastAsia="仿宋" w:cs="仿宋"/>
                <w:color w:val="auto"/>
                <w:sz w:val="24"/>
                <w:szCs w:val="24"/>
              </w:rPr>
              <w:t>亚硝基胺混标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≥100μg/mL,20ml/瓶，有标准物质证书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720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2160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209</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二氯乙酸标准溶液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≥1000μg/mL,1ml/瓶，有标准物质证书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180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720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210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三氯乙酸标准溶液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≥1000μg/mL,1ml/瓶，有标准物质证书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180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720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211</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含氯苯酚混标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含2.3.5.6-四氯苯酚、五氯苯酚，有标准物质证书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240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480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212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短链氯化石蜡标准溶液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≥1000μg/mL,1ml/瓶，有标准物质证书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180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360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213</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富马酸二甲酯+内标物氘代富马酸二甲酯-2，-3标准溶液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≥1000μg/mL,1ml/瓶，有标准物质证书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920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214</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17种有机锡混标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≥1000μg/mL,1ml/瓶， 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1060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215</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高锰酸钾滴定溶液标准物质</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c</w:t>
            </w:r>
            <w:r>
              <w:rPr>
                <w:rStyle w:val="36"/>
                <w:rFonts w:ascii="仿宋" w:eastAsia="仿宋" w:cs="仿宋"/>
                <w:color w:val="auto"/>
                <w:sz w:val="24"/>
                <w:szCs w:val="24"/>
              </w:rPr>
              <w:t>（</w:t>
            </w:r>
            <w:r>
              <w:rPr>
                <w:rStyle w:val="37"/>
                <w:rFonts w:ascii="仿宋" w:eastAsia="仿宋" w:cs="仿宋" w:hint="eastAsia"/>
                <w:color w:val="auto"/>
                <w:sz w:val="24"/>
                <w:szCs w:val="24"/>
              </w:rPr>
              <w:t>1/5KMnO4</w:t>
            </w:r>
            <w:r>
              <w:rPr>
                <w:rStyle w:val="36"/>
                <w:rFonts w:ascii="仿宋" w:eastAsia="仿宋" w:cs="仿宋"/>
                <w:color w:val="auto"/>
                <w:sz w:val="24"/>
                <w:szCs w:val="24"/>
              </w:rPr>
              <w:t>）</w:t>
            </w:r>
            <w:r>
              <w:rPr>
                <w:rStyle w:val="37"/>
                <w:rFonts w:ascii="仿宋" w:eastAsia="仿宋" w:cs="仿宋" w:hint="eastAsia"/>
                <w:color w:val="auto"/>
                <w:sz w:val="24"/>
                <w:szCs w:val="24"/>
              </w:rPr>
              <w:t>=0.1mol/L</w:t>
            </w:r>
            <w:r>
              <w:rPr>
                <w:rStyle w:val="36"/>
                <w:rFonts w:ascii="仿宋" w:eastAsia="仿宋" w:cs="仿宋"/>
                <w:color w:val="auto"/>
                <w:sz w:val="24"/>
                <w:szCs w:val="24"/>
              </w:rPr>
              <w:t>，</w:t>
            </w:r>
            <w:r>
              <w:rPr>
                <w:rStyle w:val="37"/>
                <w:rFonts w:ascii="仿宋" w:eastAsia="仿宋" w:cs="仿宋" w:hint="eastAsia"/>
                <w:color w:val="auto"/>
                <w:sz w:val="24"/>
                <w:szCs w:val="24"/>
              </w:rPr>
              <w:t>500mL</w:t>
            </w:r>
            <w:r>
              <w:rPr>
                <w:rStyle w:val="36"/>
                <w:rFonts w:ascii="仿宋" w:eastAsia="仿宋" w:cs="仿宋"/>
                <w:color w:val="auto"/>
                <w:sz w:val="24"/>
                <w:szCs w:val="24"/>
              </w:rPr>
              <w:t>符合</w:t>
            </w:r>
            <w:r>
              <w:rPr>
                <w:rStyle w:val="37"/>
                <w:rFonts w:ascii="仿宋" w:eastAsia="仿宋" w:cs="仿宋" w:hint="eastAsia"/>
                <w:color w:val="auto"/>
                <w:sz w:val="24"/>
                <w:szCs w:val="24"/>
              </w:rPr>
              <w:t>[GB/T 601-2016]</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8</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720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216</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草酸钠滴定溶液标准物质</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c</w:t>
            </w:r>
            <w:r>
              <w:rPr>
                <w:rStyle w:val="36"/>
                <w:rFonts w:ascii="仿宋" w:eastAsia="仿宋" w:cs="仿宋"/>
                <w:color w:val="auto"/>
                <w:sz w:val="24"/>
                <w:szCs w:val="24"/>
              </w:rPr>
              <w:t>（</w:t>
            </w:r>
            <w:r>
              <w:rPr>
                <w:rStyle w:val="37"/>
                <w:rFonts w:ascii="仿宋" w:eastAsia="仿宋" w:cs="仿宋" w:hint="eastAsia"/>
                <w:color w:val="auto"/>
                <w:sz w:val="24"/>
                <w:szCs w:val="24"/>
              </w:rPr>
              <w:t>1/2C2Na2O4</w:t>
            </w:r>
            <w:r>
              <w:rPr>
                <w:rStyle w:val="36"/>
                <w:rFonts w:ascii="仿宋" w:eastAsia="仿宋" w:cs="仿宋"/>
                <w:color w:val="auto"/>
                <w:sz w:val="24"/>
                <w:szCs w:val="24"/>
              </w:rPr>
              <w:t>）</w:t>
            </w:r>
            <w:r>
              <w:rPr>
                <w:rStyle w:val="37"/>
                <w:rFonts w:ascii="仿宋" w:eastAsia="仿宋" w:cs="仿宋" w:hint="eastAsia"/>
                <w:color w:val="auto"/>
                <w:sz w:val="24"/>
                <w:szCs w:val="24"/>
              </w:rPr>
              <w:t>=0.1mol/L</w:t>
            </w:r>
            <w:r>
              <w:rPr>
                <w:rStyle w:val="36"/>
                <w:rFonts w:ascii="仿宋" w:eastAsia="仿宋" w:cs="仿宋"/>
                <w:color w:val="auto"/>
                <w:sz w:val="24"/>
                <w:szCs w:val="24"/>
              </w:rPr>
              <w:t>，</w:t>
            </w:r>
            <w:r>
              <w:rPr>
                <w:rStyle w:val="37"/>
                <w:rFonts w:ascii="仿宋" w:eastAsia="仿宋" w:cs="仿宋" w:hint="eastAsia"/>
                <w:color w:val="auto"/>
                <w:sz w:val="24"/>
                <w:szCs w:val="24"/>
              </w:rPr>
              <w:t>500mL</w:t>
            </w:r>
            <w:r>
              <w:rPr>
                <w:rStyle w:val="36"/>
                <w:rFonts w:ascii="仿宋" w:eastAsia="仿宋" w:cs="仿宋"/>
                <w:color w:val="auto"/>
                <w:sz w:val="24"/>
                <w:szCs w:val="24"/>
              </w:rPr>
              <w:t>；符合</w:t>
            </w:r>
            <w:r>
              <w:rPr>
                <w:rStyle w:val="37"/>
                <w:rFonts w:ascii="仿宋" w:eastAsia="仿宋" w:cs="仿宋" w:hint="eastAsia"/>
                <w:color w:val="auto"/>
                <w:sz w:val="24"/>
                <w:szCs w:val="24"/>
              </w:rPr>
              <w:t>[GB/T 601-2016]</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8</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320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217</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水中尿素溶液标准物质</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1000mg/L</w:t>
            </w:r>
            <w:r>
              <w:rPr>
                <w:rStyle w:val="36"/>
                <w:rFonts w:ascii="仿宋" w:eastAsia="仿宋" w:cs="仿宋"/>
                <w:color w:val="auto"/>
                <w:sz w:val="24"/>
                <w:szCs w:val="24"/>
              </w:rPr>
              <w:t>，</w:t>
            </w:r>
            <w:r>
              <w:rPr>
                <w:rStyle w:val="37"/>
                <w:rFonts w:ascii="仿宋" w:eastAsia="仿宋" w:cs="仿宋" w:hint="eastAsia"/>
                <w:color w:val="auto"/>
                <w:sz w:val="24"/>
                <w:szCs w:val="24"/>
              </w:rPr>
              <w:t>50mL</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240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218</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乙二胺四乙酸二钠滴定溶液标准物质</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w:t>
            </w:r>
            <w:r>
              <w:rPr>
                <w:rStyle w:val="37"/>
                <w:rFonts w:ascii="仿宋" w:eastAsia="仿宋" w:cs="仿宋" w:hint="eastAsia"/>
                <w:color w:val="auto"/>
                <w:sz w:val="24"/>
                <w:szCs w:val="24"/>
              </w:rPr>
              <w:t>0.1mol/L</w:t>
            </w:r>
            <w:r>
              <w:rPr>
                <w:rStyle w:val="36"/>
                <w:rFonts w:ascii="仿宋" w:eastAsia="仿宋" w:cs="仿宋"/>
                <w:color w:val="auto"/>
                <w:sz w:val="24"/>
                <w:szCs w:val="24"/>
              </w:rPr>
              <w:t>，</w:t>
            </w:r>
            <w:r>
              <w:rPr>
                <w:rStyle w:val="37"/>
                <w:rFonts w:ascii="仿宋" w:eastAsia="仿宋" w:cs="仿宋" w:hint="eastAsia"/>
                <w:color w:val="auto"/>
                <w:sz w:val="24"/>
                <w:szCs w:val="24"/>
              </w:rPr>
              <w:t>500mL</w:t>
            </w:r>
            <w:r>
              <w:rPr>
                <w:rStyle w:val="36"/>
                <w:rFonts w:ascii="仿宋" w:eastAsia="仿宋" w:cs="仿宋"/>
                <w:color w:val="auto"/>
                <w:sz w:val="24"/>
                <w:szCs w:val="24"/>
              </w:rPr>
              <w:t>；符合</w:t>
            </w:r>
            <w:r>
              <w:rPr>
                <w:rStyle w:val="37"/>
                <w:rFonts w:ascii="仿宋" w:eastAsia="仿宋" w:cs="仿宋" w:hint="eastAsia"/>
                <w:color w:val="auto"/>
                <w:sz w:val="24"/>
                <w:szCs w:val="24"/>
              </w:rPr>
              <w:t>[GB/T 601-2016/</w:t>
            </w:r>
            <w:r>
              <w:rPr>
                <w:rStyle w:val="36"/>
                <w:rFonts w:ascii="仿宋" w:eastAsia="仿宋" w:cs="仿宋"/>
                <w:color w:val="auto"/>
                <w:sz w:val="24"/>
                <w:szCs w:val="24"/>
              </w:rPr>
              <w:t>药典</w:t>
            </w:r>
            <w:r>
              <w:rPr>
                <w:rStyle w:val="37"/>
                <w:rFonts w:ascii="仿宋" w:eastAsia="仿宋" w:cs="仿宋" w:hint="eastAsia"/>
                <w:color w:val="auto"/>
                <w:sz w:val="24"/>
                <w:szCs w:val="24"/>
              </w:rPr>
              <w:t>2025</w:t>
            </w:r>
            <w:r>
              <w:rPr>
                <w:rStyle w:val="36"/>
                <w:rFonts w:ascii="仿宋" w:eastAsia="仿宋" w:cs="仿宋"/>
                <w:color w:val="auto"/>
                <w:sz w:val="24"/>
                <w:szCs w:val="24"/>
              </w:rPr>
              <w:t>版</w:t>
            </w:r>
            <w:r>
              <w:rPr>
                <w:rStyle w:val="37"/>
                <w:rFonts w:ascii="仿宋" w:eastAsia="仿宋" w:cs="仿宋" w:hint="eastAsia"/>
                <w:color w:val="auto"/>
                <w:sz w:val="24"/>
                <w:szCs w:val="24"/>
              </w:rPr>
              <w:t>]</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240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219</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水质</w:t>
            </w:r>
            <w:r>
              <w:rPr>
                <w:rStyle w:val="37"/>
                <w:rFonts w:ascii="仿宋" w:eastAsia="仿宋" w:cs="仿宋" w:hint="eastAsia"/>
                <w:color w:val="auto"/>
                <w:sz w:val="24"/>
                <w:szCs w:val="24"/>
              </w:rPr>
              <w:t>pH</w:t>
            </w:r>
            <w:r>
              <w:rPr>
                <w:rStyle w:val="36"/>
                <w:rFonts w:ascii="仿宋" w:eastAsia="仿宋" w:cs="仿宋"/>
                <w:color w:val="auto"/>
                <w:sz w:val="24"/>
                <w:szCs w:val="24"/>
              </w:rPr>
              <w:t>值</w:t>
            </w:r>
            <w:r>
              <w:rPr>
                <w:rStyle w:val="37"/>
                <w:rFonts w:ascii="仿宋" w:eastAsia="仿宋" w:cs="仿宋" w:hint="eastAsia"/>
                <w:color w:val="auto"/>
                <w:sz w:val="24"/>
                <w:szCs w:val="24"/>
              </w:rPr>
              <w:t>9.79</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9.79(9.4-9.8)</w:t>
            </w:r>
            <w:r>
              <w:rPr>
                <w:rStyle w:val="36"/>
                <w:rFonts w:ascii="仿宋" w:eastAsia="仿宋" w:cs="仿宋"/>
                <w:color w:val="auto"/>
                <w:sz w:val="24"/>
                <w:szCs w:val="24"/>
              </w:rPr>
              <w:t>，</w:t>
            </w:r>
            <w:r>
              <w:rPr>
                <w:rStyle w:val="37"/>
                <w:rFonts w:ascii="仿宋" w:eastAsia="仿宋" w:cs="仿宋" w:hint="eastAsia"/>
                <w:color w:val="auto"/>
                <w:sz w:val="24"/>
                <w:szCs w:val="24"/>
              </w:rPr>
              <w:t>20mL</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220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水质</w:t>
            </w:r>
            <w:r>
              <w:rPr>
                <w:rStyle w:val="37"/>
                <w:rFonts w:ascii="仿宋" w:eastAsia="仿宋" w:cs="仿宋" w:hint="eastAsia"/>
                <w:color w:val="auto"/>
                <w:sz w:val="24"/>
                <w:szCs w:val="24"/>
              </w:rPr>
              <w:t>pH</w:t>
            </w:r>
            <w:r>
              <w:rPr>
                <w:rStyle w:val="36"/>
                <w:rFonts w:ascii="仿宋" w:eastAsia="仿宋" w:cs="仿宋"/>
                <w:color w:val="auto"/>
                <w:sz w:val="24"/>
                <w:szCs w:val="24"/>
              </w:rPr>
              <w:t>值</w:t>
            </w:r>
            <w:r>
              <w:rPr>
                <w:rStyle w:val="37"/>
                <w:rFonts w:ascii="仿宋" w:eastAsia="仿宋" w:cs="仿宋" w:hint="eastAsia"/>
                <w:color w:val="auto"/>
                <w:sz w:val="24"/>
                <w:szCs w:val="24"/>
              </w:rPr>
              <w:t>4.23</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4.23(4.0-4.4)</w:t>
            </w:r>
            <w:r>
              <w:rPr>
                <w:rStyle w:val="36"/>
                <w:rFonts w:ascii="仿宋" w:eastAsia="仿宋" w:cs="仿宋"/>
                <w:color w:val="auto"/>
                <w:sz w:val="24"/>
                <w:szCs w:val="24"/>
              </w:rPr>
              <w:t>，</w:t>
            </w:r>
            <w:r>
              <w:rPr>
                <w:rStyle w:val="37"/>
                <w:rFonts w:ascii="仿宋" w:eastAsia="仿宋" w:cs="仿宋" w:hint="eastAsia"/>
                <w:color w:val="auto"/>
                <w:sz w:val="24"/>
                <w:szCs w:val="24"/>
              </w:rPr>
              <w:t>20mL，</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221</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浊度标准比色液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 xml:space="preserve">1NTU </w:t>
            </w:r>
            <w:r>
              <w:rPr>
                <w:rStyle w:val="36"/>
                <w:rFonts w:ascii="仿宋" w:eastAsia="仿宋" w:cs="仿宋"/>
                <w:color w:val="auto"/>
                <w:sz w:val="24"/>
                <w:szCs w:val="24"/>
              </w:rPr>
              <w:t>，符合</w:t>
            </w:r>
            <w:r>
              <w:rPr>
                <w:rStyle w:val="37"/>
                <w:rFonts w:ascii="仿宋" w:eastAsia="仿宋" w:cs="仿宋" w:hint="eastAsia"/>
                <w:color w:val="auto"/>
                <w:sz w:val="24"/>
                <w:szCs w:val="24"/>
              </w:rPr>
              <w:t>[</w:t>
            </w:r>
            <w:r>
              <w:rPr>
                <w:rStyle w:val="36"/>
                <w:rFonts w:ascii="仿宋" w:eastAsia="仿宋" w:cs="仿宋"/>
                <w:color w:val="auto"/>
                <w:sz w:val="24"/>
                <w:szCs w:val="24"/>
              </w:rPr>
              <w:t>HJ 1075-2019 或 GB/T 5750.4-2023</w:t>
            </w:r>
            <w:r>
              <w:rPr>
                <w:rStyle w:val="37"/>
                <w:rFonts w:ascii="仿宋" w:eastAsia="仿宋" w:cs="仿宋" w:hint="eastAsia"/>
                <w:color w:val="auto"/>
                <w:sz w:val="24"/>
                <w:szCs w:val="24"/>
              </w:rPr>
              <w:t>]</w:t>
            </w:r>
            <w:r>
              <w:rPr>
                <w:rStyle w:val="36"/>
                <w:rFonts w:ascii="仿宋" w:eastAsia="仿宋" w:cs="仿宋"/>
                <w:color w:val="auto"/>
                <w:sz w:val="24"/>
                <w:szCs w:val="24"/>
              </w:rPr>
              <w:t>，</w:t>
            </w:r>
            <w:r>
              <w:rPr>
                <w:rStyle w:val="37"/>
                <w:rFonts w:ascii="仿宋" w:eastAsia="仿宋" w:cs="仿宋" w:hint="eastAsia"/>
                <w:color w:val="auto"/>
                <w:sz w:val="24"/>
                <w:szCs w:val="24"/>
              </w:rPr>
              <w:t>100mL</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222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铂钴色度溶液标准物质</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15Hazen</w:t>
            </w:r>
            <w:r>
              <w:rPr>
                <w:rStyle w:val="36"/>
                <w:rFonts w:ascii="仿宋" w:eastAsia="仿宋" w:cs="仿宋"/>
                <w:color w:val="auto"/>
                <w:sz w:val="24"/>
                <w:szCs w:val="24"/>
              </w:rPr>
              <w:t>，</w:t>
            </w:r>
            <w:r>
              <w:rPr>
                <w:rStyle w:val="37"/>
                <w:rFonts w:ascii="仿宋" w:eastAsia="仿宋" w:cs="仿宋" w:hint="eastAsia"/>
                <w:color w:val="auto"/>
                <w:sz w:val="24"/>
                <w:szCs w:val="24"/>
              </w:rPr>
              <w:t>100mL</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75</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150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223</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总硬度质控样</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92.3μg/mL(80-100μg/mL)，有标准物质证书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224</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六价铬质控样</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39.9μg/L(20-40μg/L)，</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225</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总氰化物质控样</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73.9ug/L，</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226</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挥发酚质控样</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75.3μg/L(60-80μg/L)，</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25</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227</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水中阴离子表面活性剂质控样</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0.478μg/mL(0.4-0.6μg/mL)，</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228</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水中亚硝酸盐氮</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151μg/L(120-160μg/L)，</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229</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水中游离氯/氯胺测定用质控样-氯标准溶液（DPD分光光度法）</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需稀释</w:t>
            </w:r>
            <w:r>
              <w:rPr>
                <w:rStyle w:val="37"/>
                <w:rFonts w:ascii="仿宋" w:eastAsia="仿宋" w:cs="仿宋" w:hint="eastAsia"/>
                <w:color w:val="auto"/>
                <w:sz w:val="24"/>
                <w:szCs w:val="24"/>
              </w:rPr>
              <w:t>ρ(Cl2)=0.4mg/L</w:t>
            </w:r>
            <w:r>
              <w:rPr>
                <w:rStyle w:val="36"/>
                <w:rFonts w:ascii="仿宋" w:eastAsia="仿宋" w:cs="仿宋"/>
                <w:color w:val="auto"/>
                <w:sz w:val="24"/>
                <w:szCs w:val="24"/>
              </w:rPr>
              <w:t>，20mL，</w:t>
            </w:r>
            <w:r>
              <w:rPr>
                <w:rStyle w:val="37"/>
                <w:rFonts w:ascii="仿宋" w:eastAsia="仿宋" w:cs="仿宋" w:hint="eastAsia"/>
                <w:color w:val="auto"/>
                <w:sz w:val="24"/>
                <w:szCs w:val="24"/>
              </w:rPr>
              <w:t xml:space="preserve">GB/T 5750.11-2023 </w:t>
            </w:r>
            <w:r>
              <w:rPr>
                <w:rStyle w:val="36"/>
                <w:rFonts w:ascii="仿宋" w:eastAsia="仿宋" w:cs="仿宋"/>
                <w:color w:val="auto"/>
                <w:sz w:val="24"/>
                <w:szCs w:val="24"/>
              </w:rPr>
              <w:t>生活饮用水标准检验方法</w:t>
            </w:r>
            <w:r>
              <w:rPr>
                <w:rStyle w:val="37"/>
                <w:rFonts w:ascii="仿宋" w:eastAsia="仿宋" w:cs="仿宋" w:hint="eastAsia"/>
                <w:color w:val="auto"/>
                <w:sz w:val="24"/>
                <w:szCs w:val="24"/>
              </w:rPr>
              <w:t xml:space="preserve"> </w:t>
            </w:r>
            <w:r>
              <w:rPr>
                <w:rStyle w:val="36"/>
                <w:rFonts w:ascii="仿宋" w:eastAsia="仿宋" w:cs="仿宋"/>
                <w:color w:val="auto"/>
                <w:sz w:val="24"/>
                <w:szCs w:val="24"/>
              </w:rPr>
              <w:t>第</w:t>
            </w:r>
            <w:r>
              <w:rPr>
                <w:rStyle w:val="37"/>
                <w:rFonts w:ascii="仿宋" w:eastAsia="仿宋" w:cs="仿宋" w:hint="eastAsia"/>
                <w:color w:val="auto"/>
                <w:sz w:val="24"/>
                <w:szCs w:val="24"/>
              </w:rPr>
              <w:t>11</w:t>
            </w:r>
            <w:r>
              <w:rPr>
                <w:rStyle w:val="36"/>
                <w:rFonts w:ascii="仿宋" w:eastAsia="仿宋" w:cs="仿宋"/>
                <w:color w:val="auto"/>
                <w:sz w:val="24"/>
                <w:szCs w:val="24"/>
              </w:rPr>
              <w:t>部分</w:t>
            </w:r>
            <w:r>
              <w:rPr>
                <w:rStyle w:val="37"/>
                <w:rFonts w:ascii="仿宋" w:eastAsia="仿宋" w:cs="仿宋" w:hint="eastAsia"/>
                <w:color w:val="auto"/>
                <w:sz w:val="24"/>
                <w:szCs w:val="24"/>
              </w:rPr>
              <w:t xml:space="preserve"> </w:t>
            </w:r>
            <w:r>
              <w:rPr>
                <w:rStyle w:val="36"/>
                <w:rFonts w:ascii="仿宋" w:eastAsia="仿宋" w:cs="仿宋"/>
                <w:color w:val="auto"/>
                <w:sz w:val="24"/>
                <w:szCs w:val="24"/>
              </w:rPr>
              <w:t>消毒剂指标</w:t>
            </w:r>
            <w:r>
              <w:rPr>
                <w:rStyle w:val="37"/>
                <w:rFonts w:ascii="仿宋" w:eastAsia="仿宋" w:cs="仿宋" w:hint="eastAsia"/>
                <w:color w:val="auto"/>
                <w:sz w:val="24"/>
                <w:szCs w:val="24"/>
              </w:rPr>
              <w:t xml:space="preserve"> 4.1</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8</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720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230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水中游离氯/氯胺测定用溶液标准物质-氯标准溶液（DPD分光光度法）</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ρ(Cl2)=1000mg/L</w:t>
            </w:r>
            <w:r>
              <w:rPr>
                <w:rStyle w:val="36"/>
                <w:rFonts w:ascii="仿宋" w:eastAsia="仿宋" w:cs="仿宋"/>
                <w:color w:val="auto"/>
                <w:sz w:val="24"/>
                <w:szCs w:val="24"/>
              </w:rPr>
              <w:t>，</w:t>
            </w:r>
            <w:r>
              <w:rPr>
                <w:rStyle w:val="37"/>
                <w:rFonts w:ascii="仿宋" w:eastAsia="仿宋" w:cs="仿宋" w:hint="eastAsia"/>
                <w:color w:val="auto"/>
                <w:sz w:val="24"/>
                <w:szCs w:val="24"/>
              </w:rPr>
              <w:t xml:space="preserve">2mL;GB/T 5750.11-2023 </w:t>
            </w:r>
            <w:r>
              <w:rPr>
                <w:rStyle w:val="36"/>
                <w:rFonts w:ascii="仿宋" w:eastAsia="仿宋" w:cs="仿宋"/>
                <w:color w:val="auto"/>
                <w:sz w:val="24"/>
                <w:szCs w:val="24"/>
              </w:rPr>
              <w:t>生活饮用水标准检验方法</w:t>
            </w:r>
            <w:r>
              <w:rPr>
                <w:rStyle w:val="37"/>
                <w:rFonts w:ascii="仿宋" w:eastAsia="仿宋" w:cs="仿宋" w:hint="eastAsia"/>
                <w:color w:val="auto"/>
                <w:sz w:val="24"/>
                <w:szCs w:val="24"/>
              </w:rPr>
              <w:t xml:space="preserve"> </w:t>
            </w:r>
            <w:r>
              <w:rPr>
                <w:rStyle w:val="36"/>
                <w:rFonts w:ascii="仿宋" w:eastAsia="仿宋" w:cs="仿宋"/>
                <w:color w:val="auto"/>
                <w:sz w:val="24"/>
                <w:szCs w:val="24"/>
              </w:rPr>
              <w:t>第</w:t>
            </w:r>
            <w:r>
              <w:rPr>
                <w:rStyle w:val="37"/>
                <w:rFonts w:ascii="仿宋" w:eastAsia="仿宋" w:cs="仿宋" w:hint="eastAsia"/>
                <w:color w:val="auto"/>
                <w:sz w:val="24"/>
                <w:szCs w:val="24"/>
              </w:rPr>
              <w:t>11</w:t>
            </w:r>
            <w:r>
              <w:rPr>
                <w:rStyle w:val="36"/>
                <w:rFonts w:ascii="仿宋" w:eastAsia="仿宋" w:cs="仿宋"/>
                <w:color w:val="auto"/>
                <w:sz w:val="24"/>
                <w:szCs w:val="24"/>
              </w:rPr>
              <w:t>部分</w:t>
            </w:r>
            <w:r>
              <w:rPr>
                <w:rStyle w:val="37"/>
                <w:rFonts w:ascii="仿宋" w:eastAsia="仿宋" w:cs="仿宋" w:hint="eastAsia"/>
                <w:color w:val="auto"/>
                <w:sz w:val="24"/>
                <w:szCs w:val="24"/>
              </w:rPr>
              <w:t xml:space="preserve"> </w:t>
            </w:r>
            <w:r>
              <w:rPr>
                <w:rStyle w:val="36"/>
                <w:rFonts w:ascii="仿宋" w:eastAsia="仿宋" w:cs="仿宋"/>
                <w:color w:val="auto"/>
                <w:sz w:val="24"/>
                <w:szCs w:val="24"/>
              </w:rPr>
              <w:t>消毒剂指标</w:t>
            </w:r>
            <w:r>
              <w:rPr>
                <w:rStyle w:val="37"/>
                <w:rFonts w:ascii="仿宋" w:eastAsia="仿宋" w:cs="仿宋" w:hint="eastAsia"/>
                <w:color w:val="auto"/>
                <w:sz w:val="24"/>
                <w:szCs w:val="24"/>
              </w:rPr>
              <w:t xml:space="preserve"> 4.1，</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270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231</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二氧化氯质控样（有效期</w:t>
            </w:r>
            <w:r>
              <w:rPr>
                <w:rStyle w:val="37"/>
                <w:rFonts w:ascii="仿宋" w:eastAsia="仿宋" w:cs="仿宋" w:hint="eastAsia"/>
                <w:color w:val="auto"/>
                <w:sz w:val="24"/>
                <w:szCs w:val="24"/>
              </w:rPr>
              <w:t>6</w:t>
            </w:r>
            <w:r>
              <w:rPr>
                <w:rStyle w:val="36"/>
                <w:rFonts w:ascii="仿宋" w:eastAsia="仿宋" w:cs="仿宋"/>
                <w:color w:val="auto"/>
                <w:sz w:val="24"/>
                <w:szCs w:val="24"/>
              </w:rPr>
              <w:t>个月）</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0.1mg/L,10mL，</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220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880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232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甲醇中</w:t>
            </w:r>
            <w:r>
              <w:rPr>
                <w:rStyle w:val="37"/>
                <w:rFonts w:ascii="仿宋" w:eastAsia="仿宋" w:cs="仿宋" w:hint="eastAsia"/>
                <w:color w:val="auto"/>
                <w:sz w:val="24"/>
                <w:szCs w:val="24"/>
              </w:rPr>
              <w:t>5</w:t>
            </w:r>
            <w:r>
              <w:rPr>
                <w:rStyle w:val="36"/>
                <w:rFonts w:ascii="仿宋" w:eastAsia="仿宋" w:cs="仿宋"/>
                <w:color w:val="auto"/>
                <w:sz w:val="24"/>
                <w:szCs w:val="24"/>
              </w:rPr>
              <w:t>种挥发性卤代烃混合质控样</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lang w:eastAsia="zh-CN"/>
              </w:rPr>
              <w:t>★符合</w:t>
            </w:r>
            <w:r>
              <w:rPr>
                <w:rStyle w:val="37"/>
                <w:rFonts w:ascii="仿宋" w:eastAsia="仿宋" w:cs="仿宋" w:hint="eastAsia"/>
                <w:color w:val="auto"/>
                <w:sz w:val="24"/>
                <w:szCs w:val="24"/>
              </w:rPr>
              <w:t>GB5750/HJ670/HJ636/HJ/T199</w:t>
            </w:r>
            <w:r>
              <w:rPr>
                <w:rStyle w:val="37"/>
                <w:rFonts w:ascii="仿宋" w:eastAsia="仿宋" w:cs="仿宋"/>
                <w:color w:val="auto"/>
                <w:sz w:val="24"/>
                <w:szCs w:val="24"/>
              </w:rPr>
              <w:t>，</w:t>
            </w:r>
            <w:r>
              <w:rPr>
                <w:rStyle w:val="37"/>
                <w:rFonts w:ascii="仿宋" w:eastAsia="仿宋" w:cs="仿宋" w:hint="eastAsia"/>
                <w:color w:val="auto"/>
                <w:sz w:val="24"/>
                <w:szCs w:val="24"/>
              </w:rPr>
              <w:t>32mg/L,2mL，</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140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840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233</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水中高锰酸盐指数</w:t>
            </w:r>
            <w:r>
              <w:rPr>
                <w:rStyle w:val="37"/>
                <w:rFonts w:ascii="仿宋" w:eastAsia="仿宋" w:cs="仿宋" w:hint="eastAsia"/>
                <w:color w:val="auto"/>
                <w:sz w:val="24"/>
                <w:szCs w:val="24"/>
              </w:rPr>
              <w:t xml:space="preserve">CODMn </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1.84μg/mL(1-2μg/mL),20mL</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22</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132</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234</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水中氟标准物质</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0.806μg/mL(0.5-1μg/mL),20mL</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22</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66</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235</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水中氯化物标准物质</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3.73μg/mL(2-5μg/mL),20mL</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22</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66</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236</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硝酸盐氮质控</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11.6μg/ml(10-15μg/mL),20mL</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22</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66</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237</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水中硫酸盐标准物质</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45.6μg/mL(40-50μg/mL),20mL</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22</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66</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238</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水中亚氯酸盐标准物质</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17.9μg/mL(16-18μg/mL),20mL</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160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239</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亚氯酸盐质控样</w:t>
            </w:r>
            <w:r>
              <w:rPr>
                <w:rStyle w:val="37"/>
                <w:rFonts w:ascii="仿宋" w:eastAsia="仿宋" w:cs="仿宋" w:hint="eastAsia"/>
                <w:color w:val="auto"/>
                <w:sz w:val="24"/>
                <w:szCs w:val="24"/>
              </w:rPr>
              <w:t>BZ509</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46.8μg/L(30-60μg/L),20mL</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35</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240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水中溴酸盐标准物质</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0.643μg/ml(0.6-0.8μg/ml),20mL</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25</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241</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水中二氯乙酸质控样</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2.51μg/mL(2-3μg/mL),20mL</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242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水中三氯乙酸质控样</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1.51μg/mL(1.2-2μg/mL),20mL</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243</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化学需氧量（耗氧量）</w:t>
            </w:r>
            <w:r>
              <w:rPr>
                <w:rStyle w:val="37"/>
                <w:rFonts w:ascii="仿宋" w:eastAsia="仿宋" w:cs="仿宋" w:hint="eastAsia"/>
                <w:color w:val="auto"/>
                <w:sz w:val="24"/>
                <w:szCs w:val="24"/>
              </w:rPr>
              <w:t>CODCr</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124μg/mL(100-150μg/mL),20mL</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22</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88</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244</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硫化物质控样</w:t>
            </w:r>
            <w:r>
              <w:rPr>
                <w:rStyle w:val="37"/>
                <w:rFonts w:ascii="仿宋" w:eastAsia="仿宋" w:cs="仿宋" w:hint="eastAsia"/>
                <w:color w:val="auto"/>
                <w:sz w:val="24"/>
                <w:szCs w:val="24"/>
              </w:rPr>
              <w:t>I319</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4.08μg/mL(4-5μg/mL),20mL</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245</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缩二脲溶液标准物质标准物质</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2000mg/L,500mL</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280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1680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246</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水中尿素质控样（稀释</w:t>
            </w:r>
            <w:r>
              <w:rPr>
                <w:rStyle w:val="37"/>
                <w:rFonts w:ascii="仿宋" w:eastAsia="仿宋" w:cs="仿宋" w:hint="eastAsia"/>
                <w:color w:val="auto"/>
                <w:sz w:val="24"/>
                <w:szCs w:val="24"/>
              </w:rPr>
              <w:t>25</w:t>
            </w:r>
            <w:r>
              <w:rPr>
                <w:rStyle w:val="36"/>
                <w:rFonts w:ascii="仿宋" w:eastAsia="仿宋" w:cs="仿宋"/>
                <w:color w:val="auto"/>
                <w:sz w:val="24"/>
                <w:szCs w:val="24"/>
              </w:rPr>
              <w:t>倍）</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16.0ug/ml,20mL</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360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247</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锌单元素溶液标准物质</w:t>
            </w:r>
            <w:r>
              <w:rPr>
                <w:rStyle w:val="37"/>
                <w:rFonts w:ascii="仿宋" w:eastAsia="仿宋" w:cs="仿宋" w:hint="eastAsia"/>
                <w:color w:val="auto"/>
                <w:sz w:val="24"/>
                <w:szCs w:val="24"/>
              </w:rPr>
              <w:t>Zn</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1000(µg/mL),50mL</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248</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铬单元素溶液标准物质</w:t>
            </w:r>
            <w:r>
              <w:rPr>
                <w:rStyle w:val="37"/>
                <w:rFonts w:ascii="仿宋" w:eastAsia="仿宋" w:cs="仿宋" w:hint="eastAsia"/>
                <w:color w:val="auto"/>
                <w:sz w:val="24"/>
                <w:szCs w:val="24"/>
              </w:rPr>
              <w:t>Cr</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1000(µg/mL),50mL</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50</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249</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砷单元素溶液标准物质</w:t>
            </w:r>
            <w:r>
              <w:rPr>
                <w:rStyle w:val="37"/>
                <w:rFonts w:ascii="仿宋" w:eastAsia="仿宋" w:cs="仿宋" w:hint="eastAsia"/>
                <w:color w:val="auto"/>
                <w:sz w:val="24"/>
                <w:szCs w:val="24"/>
              </w:rPr>
              <w:t>As</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1000(µg/mL),50mL</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250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锰单元素溶液标准物质</w:t>
            </w:r>
            <w:r>
              <w:rPr>
                <w:rStyle w:val="37"/>
                <w:rFonts w:ascii="仿宋" w:eastAsia="仿宋" w:cs="仿宋" w:hint="eastAsia"/>
                <w:color w:val="auto"/>
                <w:sz w:val="24"/>
                <w:szCs w:val="24"/>
              </w:rPr>
              <w:t>Mn</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1000(µg/mL),50mL</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251</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镍单元素溶液标准物质</w:t>
            </w:r>
            <w:r>
              <w:rPr>
                <w:rStyle w:val="37"/>
                <w:rFonts w:ascii="仿宋" w:eastAsia="仿宋" w:cs="仿宋" w:hint="eastAsia"/>
                <w:color w:val="auto"/>
                <w:sz w:val="24"/>
                <w:szCs w:val="24"/>
              </w:rPr>
              <w:t>Ni</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1000(µg/mL),50mL</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252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锂单元素溶液标准物质</w:t>
            </w:r>
            <w:r>
              <w:rPr>
                <w:rStyle w:val="37"/>
                <w:rFonts w:ascii="仿宋" w:eastAsia="仿宋" w:cs="仿宋" w:hint="eastAsia"/>
                <w:color w:val="auto"/>
                <w:sz w:val="24"/>
                <w:szCs w:val="24"/>
              </w:rPr>
              <w:t>Li</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1000(µg/mL),50mL</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253</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硝酸汞滴定溶液标准物质</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0.1mol/L,500mL</w:t>
            </w:r>
            <w:r>
              <w:rPr>
                <w:rStyle w:val="36"/>
                <w:rFonts w:ascii="仿宋" w:eastAsia="仿宋" w:cs="仿宋"/>
                <w:color w:val="auto"/>
                <w:sz w:val="24"/>
                <w:szCs w:val="24"/>
              </w:rPr>
              <w:t>符合</w:t>
            </w:r>
            <w:r>
              <w:rPr>
                <w:rStyle w:val="37"/>
                <w:rFonts w:ascii="仿宋" w:eastAsia="仿宋" w:cs="仿宋" w:hint="eastAsia"/>
                <w:color w:val="auto"/>
                <w:sz w:val="24"/>
                <w:szCs w:val="24"/>
              </w:rPr>
              <w:t>[</w:t>
            </w:r>
            <w:r>
              <w:rPr>
                <w:rStyle w:val="36"/>
                <w:rFonts w:ascii="仿宋" w:eastAsia="仿宋" w:cs="仿宋"/>
                <w:color w:val="auto"/>
                <w:sz w:val="24"/>
                <w:szCs w:val="24"/>
              </w:rPr>
              <w:t>药典</w:t>
            </w:r>
            <w:r>
              <w:rPr>
                <w:rStyle w:val="37"/>
                <w:rFonts w:ascii="仿宋" w:eastAsia="仿宋" w:cs="仿宋" w:hint="eastAsia"/>
                <w:color w:val="auto"/>
                <w:sz w:val="24"/>
                <w:szCs w:val="24"/>
              </w:rPr>
              <w:t>2025</w:t>
            </w:r>
            <w:r>
              <w:rPr>
                <w:rStyle w:val="36"/>
                <w:rFonts w:ascii="仿宋" w:eastAsia="仿宋" w:cs="仿宋"/>
                <w:color w:val="auto"/>
                <w:sz w:val="24"/>
                <w:szCs w:val="24"/>
              </w:rPr>
              <w:t>版</w:t>
            </w:r>
            <w:r>
              <w:rPr>
                <w:rStyle w:val="37"/>
                <w:rFonts w:ascii="仿宋" w:eastAsia="仿宋" w:cs="仿宋" w:hint="eastAsia"/>
                <w:color w:val="auto"/>
                <w:sz w:val="24"/>
                <w:szCs w:val="24"/>
              </w:rPr>
              <w:t xml:space="preserve"> </w:t>
            </w:r>
            <w:r>
              <w:rPr>
                <w:rStyle w:val="36"/>
                <w:rFonts w:ascii="仿宋" w:eastAsia="仿宋" w:cs="仿宋"/>
                <w:color w:val="auto"/>
                <w:sz w:val="24"/>
                <w:szCs w:val="24"/>
              </w:rPr>
              <w:t>四部通则</w:t>
            </w:r>
            <w:r>
              <w:rPr>
                <w:rStyle w:val="37"/>
                <w:rFonts w:ascii="仿宋" w:eastAsia="仿宋" w:cs="仿宋" w:hint="eastAsia"/>
                <w:color w:val="auto"/>
                <w:sz w:val="24"/>
                <w:szCs w:val="24"/>
              </w:rPr>
              <w:t xml:space="preserve"> 8006]</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100</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254</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硫代硫酸钠滴定溶液标准物质</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0.1mol/L</w:t>
            </w:r>
            <w:r>
              <w:rPr>
                <w:rStyle w:val="36"/>
                <w:rFonts w:ascii="仿宋" w:eastAsia="仿宋" w:cs="仿宋"/>
                <w:color w:val="auto"/>
                <w:sz w:val="24"/>
                <w:szCs w:val="24"/>
              </w:rPr>
              <w:t>，</w:t>
            </w:r>
            <w:r>
              <w:rPr>
                <w:rStyle w:val="37"/>
                <w:rFonts w:ascii="仿宋" w:eastAsia="仿宋" w:cs="仿宋" w:hint="eastAsia"/>
                <w:color w:val="auto"/>
                <w:sz w:val="24"/>
                <w:szCs w:val="24"/>
              </w:rPr>
              <w:t>500mL</w:t>
            </w:r>
            <w:r>
              <w:rPr>
                <w:rStyle w:val="36"/>
                <w:rFonts w:ascii="仿宋" w:eastAsia="仿宋" w:cs="仿宋"/>
                <w:color w:val="auto"/>
                <w:sz w:val="24"/>
                <w:szCs w:val="24"/>
              </w:rPr>
              <w:t>符合</w:t>
            </w:r>
            <w:r>
              <w:rPr>
                <w:rStyle w:val="37"/>
                <w:rFonts w:ascii="仿宋" w:eastAsia="仿宋" w:cs="仿宋" w:hint="eastAsia"/>
                <w:color w:val="auto"/>
                <w:sz w:val="24"/>
                <w:szCs w:val="24"/>
              </w:rPr>
              <w:t>[GB/T 601-2016/</w:t>
            </w:r>
            <w:r>
              <w:rPr>
                <w:rStyle w:val="36"/>
                <w:rFonts w:ascii="仿宋" w:eastAsia="仿宋" w:cs="仿宋"/>
                <w:color w:val="auto"/>
                <w:sz w:val="24"/>
                <w:szCs w:val="24"/>
              </w:rPr>
              <w:t>药典</w:t>
            </w:r>
            <w:r>
              <w:rPr>
                <w:rStyle w:val="37"/>
                <w:rFonts w:ascii="仿宋" w:eastAsia="仿宋" w:cs="仿宋" w:hint="eastAsia"/>
                <w:color w:val="auto"/>
                <w:sz w:val="24"/>
                <w:szCs w:val="24"/>
              </w:rPr>
              <w:t>2025</w:t>
            </w:r>
            <w:r>
              <w:rPr>
                <w:rStyle w:val="36"/>
                <w:rFonts w:ascii="仿宋" w:eastAsia="仿宋" w:cs="仿宋"/>
                <w:color w:val="auto"/>
                <w:sz w:val="24"/>
                <w:szCs w:val="24"/>
              </w:rPr>
              <w:t>版</w:t>
            </w:r>
            <w:r>
              <w:rPr>
                <w:rStyle w:val="37"/>
                <w:rFonts w:ascii="仿宋" w:eastAsia="仿宋" w:cs="仿宋" w:hint="eastAsia"/>
                <w:color w:val="auto"/>
                <w:sz w:val="24"/>
                <w:szCs w:val="24"/>
              </w:rPr>
              <w:t>]</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40</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255</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硝酸银滴定溶液标准物质（0.1mol/L）</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0.1mol/L,500mL</w:t>
            </w:r>
            <w:r>
              <w:rPr>
                <w:rStyle w:val="36"/>
                <w:rFonts w:ascii="仿宋" w:eastAsia="仿宋" w:cs="仿宋"/>
                <w:color w:val="auto"/>
                <w:sz w:val="24"/>
                <w:szCs w:val="24"/>
              </w:rPr>
              <w:t>；符合</w:t>
            </w:r>
            <w:r>
              <w:rPr>
                <w:rStyle w:val="37"/>
                <w:rFonts w:ascii="仿宋" w:eastAsia="仿宋" w:cs="仿宋" w:hint="eastAsia"/>
                <w:color w:val="auto"/>
                <w:sz w:val="24"/>
                <w:szCs w:val="24"/>
              </w:rPr>
              <w:t>[GB/T 601-2016/</w:t>
            </w:r>
            <w:r>
              <w:rPr>
                <w:rStyle w:val="36"/>
                <w:rFonts w:ascii="仿宋" w:eastAsia="仿宋" w:cs="仿宋"/>
                <w:color w:val="auto"/>
                <w:sz w:val="24"/>
                <w:szCs w:val="24"/>
              </w:rPr>
              <w:t>药典</w:t>
            </w:r>
            <w:r>
              <w:rPr>
                <w:rStyle w:val="37"/>
                <w:rFonts w:ascii="仿宋" w:eastAsia="仿宋" w:cs="仿宋" w:hint="eastAsia"/>
                <w:color w:val="auto"/>
                <w:sz w:val="24"/>
                <w:szCs w:val="24"/>
              </w:rPr>
              <w:t>2025</w:t>
            </w:r>
            <w:r>
              <w:rPr>
                <w:rStyle w:val="36"/>
                <w:rFonts w:ascii="仿宋" w:eastAsia="仿宋" w:cs="仿宋"/>
                <w:color w:val="auto"/>
                <w:sz w:val="24"/>
                <w:szCs w:val="24"/>
              </w:rPr>
              <w:t>版</w:t>
            </w:r>
            <w:r>
              <w:rPr>
                <w:rStyle w:val="37"/>
                <w:rFonts w:ascii="仿宋" w:eastAsia="仿宋" w:cs="仿宋" w:hint="eastAsia"/>
                <w:color w:val="auto"/>
                <w:sz w:val="24"/>
                <w:szCs w:val="24"/>
              </w:rPr>
              <w:t>]</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180</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180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256</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硒单元素溶液标准物质</w:t>
            </w:r>
            <w:r>
              <w:rPr>
                <w:rStyle w:val="37"/>
                <w:rFonts w:ascii="仿宋" w:eastAsia="仿宋" w:cs="仿宋" w:hint="eastAsia"/>
                <w:color w:val="auto"/>
                <w:sz w:val="24"/>
                <w:szCs w:val="24"/>
              </w:rPr>
              <w:t>Se</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8"/>
                <w:rFonts w:ascii="仿宋" w:eastAsia="仿宋" w:cs="仿宋" w:hint="eastAsia"/>
                <w:color w:val="auto"/>
                <w:sz w:val="24"/>
                <w:szCs w:val="24"/>
              </w:rPr>
              <w:t>1000(µg/mL),50mL</w:t>
            </w:r>
            <w:r>
              <w:rPr>
                <w:rStyle w:val="39"/>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257</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铋单元素溶液标准物质</w:t>
            </w:r>
            <w:r>
              <w:rPr>
                <w:rStyle w:val="37"/>
                <w:rFonts w:ascii="仿宋" w:eastAsia="仿宋" w:cs="仿宋" w:hint="eastAsia"/>
                <w:color w:val="auto"/>
                <w:sz w:val="24"/>
                <w:szCs w:val="24"/>
              </w:rPr>
              <w:t>Bi</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8"/>
                <w:rFonts w:ascii="仿宋" w:eastAsia="仿宋" w:cs="仿宋" w:hint="eastAsia"/>
                <w:color w:val="auto"/>
                <w:sz w:val="24"/>
                <w:szCs w:val="24"/>
              </w:rPr>
              <w:t>1000(µg/mL),50mL</w:t>
            </w:r>
            <w:r>
              <w:rPr>
                <w:rStyle w:val="39"/>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258</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锑单元素溶液标准物质</w:t>
            </w:r>
            <w:r>
              <w:rPr>
                <w:rStyle w:val="37"/>
                <w:rFonts w:ascii="仿宋" w:eastAsia="仿宋" w:cs="仿宋" w:hint="eastAsia"/>
                <w:color w:val="auto"/>
                <w:sz w:val="24"/>
                <w:szCs w:val="24"/>
              </w:rPr>
              <w:t>Sb</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8"/>
                <w:rFonts w:ascii="仿宋" w:eastAsia="仿宋" w:cs="仿宋" w:hint="eastAsia"/>
                <w:color w:val="auto"/>
                <w:sz w:val="24"/>
                <w:szCs w:val="24"/>
              </w:rPr>
              <w:t>1000(µg/mL),50mL</w:t>
            </w:r>
            <w:r>
              <w:rPr>
                <w:rStyle w:val="39"/>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72</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72</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259</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锡单元素溶液标准物质</w:t>
            </w:r>
            <w:r>
              <w:rPr>
                <w:rStyle w:val="37"/>
                <w:rFonts w:ascii="仿宋" w:eastAsia="仿宋" w:cs="仿宋" w:hint="eastAsia"/>
                <w:color w:val="auto"/>
                <w:sz w:val="24"/>
                <w:szCs w:val="24"/>
              </w:rPr>
              <w:t>Sn</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8"/>
                <w:rFonts w:ascii="仿宋" w:eastAsia="仿宋" w:cs="仿宋" w:hint="eastAsia"/>
                <w:color w:val="auto"/>
                <w:sz w:val="24"/>
                <w:szCs w:val="24"/>
              </w:rPr>
              <w:t>1000(µg/mL),50mL</w:t>
            </w:r>
            <w:r>
              <w:rPr>
                <w:rStyle w:val="39"/>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260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铅单元素溶液标准物质</w:t>
            </w:r>
            <w:r>
              <w:rPr>
                <w:rStyle w:val="37"/>
                <w:rFonts w:ascii="仿宋" w:eastAsia="仿宋" w:cs="仿宋" w:hint="eastAsia"/>
                <w:color w:val="auto"/>
                <w:sz w:val="24"/>
                <w:szCs w:val="24"/>
              </w:rPr>
              <w:t>Pb</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8"/>
                <w:rFonts w:ascii="仿宋" w:eastAsia="仿宋" w:cs="仿宋" w:hint="eastAsia"/>
                <w:color w:val="auto"/>
                <w:sz w:val="24"/>
                <w:szCs w:val="24"/>
              </w:rPr>
              <w:t>1000(µg/mL),50mL</w:t>
            </w:r>
            <w:r>
              <w:rPr>
                <w:rStyle w:val="39"/>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261</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钼单元素溶液标准物质</w:t>
            </w:r>
            <w:r>
              <w:rPr>
                <w:rStyle w:val="37"/>
                <w:rFonts w:ascii="仿宋" w:eastAsia="仿宋" w:cs="仿宋" w:hint="eastAsia"/>
                <w:color w:val="auto"/>
                <w:sz w:val="24"/>
                <w:szCs w:val="24"/>
              </w:rPr>
              <w:t>Mo</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8"/>
                <w:rFonts w:ascii="仿宋" w:eastAsia="仿宋" w:cs="仿宋" w:hint="eastAsia"/>
                <w:color w:val="auto"/>
                <w:sz w:val="24"/>
                <w:szCs w:val="24"/>
              </w:rPr>
              <w:t>1000(µg/mL),50mL</w:t>
            </w:r>
            <w:r>
              <w:rPr>
                <w:rStyle w:val="39"/>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262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锶单元素溶液标准物质</w:t>
            </w:r>
            <w:r>
              <w:rPr>
                <w:rStyle w:val="37"/>
                <w:rFonts w:ascii="仿宋" w:eastAsia="仿宋" w:cs="仿宋" w:hint="eastAsia"/>
                <w:color w:val="auto"/>
                <w:sz w:val="24"/>
                <w:szCs w:val="24"/>
              </w:rPr>
              <w:t>Sr</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8"/>
                <w:rFonts w:ascii="仿宋" w:eastAsia="仿宋" w:cs="仿宋" w:hint="eastAsia"/>
                <w:color w:val="auto"/>
                <w:sz w:val="24"/>
                <w:szCs w:val="24"/>
              </w:rPr>
              <w:t>1000(µg/mL),50mL</w:t>
            </w:r>
            <w:r>
              <w:rPr>
                <w:rStyle w:val="39"/>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263</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铁单元素溶液标准物质</w:t>
            </w:r>
            <w:r>
              <w:rPr>
                <w:rStyle w:val="37"/>
                <w:rFonts w:ascii="仿宋" w:eastAsia="仿宋" w:cs="仿宋" w:hint="eastAsia"/>
                <w:color w:val="auto"/>
                <w:sz w:val="24"/>
                <w:szCs w:val="24"/>
              </w:rPr>
              <w:t>Fe</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8"/>
                <w:rFonts w:ascii="仿宋" w:eastAsia="仿宋" w:cs="仿宋" w:hint="eastAsia"/>
                <w:color w:val="auto"/>
                <w:sz w:val="24"/>
                <w:szCs w:val="24"/>
              </w:rPr>
              <w:t>1000(µg/mL),50mL</w:t>
            </w:r>
            <w:r>
              <w:rPr>
                <w:rStyle w:val="39"/>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264</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硅单元素溶液标准物质</w:t>
            </w:r>
            <w:r>
              <w:rPr>
                <w:rStyle w:val="37"/>
                <w:rFonts w:ascii="仿宋" w:eastAsia="仿宋" w:cs="仿宋" w:hint="eastAsia"/>
                <w:color w:val="auto"/>
                <w:sz w:val="24"/>
                <w:szCs w:val="24"/>
              </w:rPr>
              <w:t>Si</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8"/>
                <w:rFonts w:ascii="仿宋" w:eastAsia="仿宋" w:cs="仿宋" w:hint="eastAsia"/>
                <w:color w:val="auto"/>
                <w:sz w:val="24"/>
                <w:szCs w:val="24"/>
              </w:rPr>
              <w:t>1000(µg/mL),50mL</w:t>
            </w:r>
            <w:r>
              <w:rPr>
                <w:rStyle w:val="39"/>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35</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35</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265</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铊单元素溶液标准物质</w:t>
            </w:r>
            <w:r>
              <w:rPr>
                <w:rStyle w:val="37"/>
                <w:rFonts w:ascii="仿宋" w:eastAsia="仿宋" w:cs="仿宋" w:hint="eastAsia"/>
                <w:color w:val="auto"/>
                <w:sz w:val="24"/>
                <w:szCs w:val="24"/>
              </w:rPr>
              <w:t>Tl</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8"/>
                <w:rFonts w:ascii="仿宋" w:eastAsia="仿宋" w:cs="仿宋" w:hint="eastAsia"/>
                <w:color w:val="auto"/>
                <w:sz w:val="24"/>
                <w:szCs w:val="24"/>
              </w:rPr>
              <w:t>1000(µg/mL),50mL</w:t>
            </w:r>
            <w:r>
              <w:rPr>
                <w:rStyle w:val="39"/>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120</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266</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汞单元素溶液标准物质</w:t>
            </w:r>
            <w:r>
              <w:rPr>
                <w:rStyle w:val="37"/>
                <w:rFonts w:ascii="仿宋" w:eastAsia="仿宋" w:cs="仿宋" w:hint="eastAsia"/>
                <w:color w:val="auto"/>
                <w:sz w:val="24"/>
                <w:szCs w:val="24"/>
              </w:rPr>
              <w:t>Hg</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8"/>
                <w:rFonts w:ascii="仿宋" w:eastAsia="仿宋" w:cs="仿宋" w:hint="eastAsia"/>
                <w:color w:val="auto"/>
                <w:sz w:val="24"/>
                <w:szCs w:val="24"/>
              </w:rPr>
              <w:t>1000(µg/mL),50mL</w:t>
            </w:r>
            <w:r>
              <w:rPr>
                <w:rStyle w:val="39"/>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267</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铝单元素溶液标准物质</w:t>
            </w:r>
            <w:r>
              <w:rPr>
                <w:rStyle w:val="37"/>
                <w:rFonts w:ascii="仿宋" w:eastAsia="仿宋" w:cs="仿宋" w:hint="eastAsia"/>
                <w:color w:val="auto"/>
                <w:sz w:val="24"/>
                <w:szCs w:val="24"/>
              </w:rPr>
              <w:t>Al</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8"/>
                <w:rFonts w:ascii="仿宋" w:eastAsia="仿宋" w:cs="仿宋" w:hint="eastAsia"/>
                <w:color w:val="auto"/>
                <w:sz w:val="24"/>
                <w:szCs w:val="24"/>
              </w:rPr>
              <w:t>1000(µg/mL),50mL</w:t>
            </w:r>
            <w:r>
              <w:rPr>
                <w:rStyle w:val="39"/>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268</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镉单元素溶液标准物质</w:t>
            </w:r>
            <w:r>
              <w:rPr>
                <w:rStyle w:val="37"/>
                <w:rFonts w:ascii="仿宋" w:eastAsia="仿宋" w:cs="仿宋" w:hint="eastAsia"/>
                <w:color w:val="auto"/>
                <w:sz w:val="24"/>
                <w:szCs w:val="24"/>
              </w:rPr>
              <w:t>Cd</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8"/>
                <w:rFonts w:ascii="仿宋" w:eastAsia="仿宋" w:cs="仿宋" w:hint="eastAsia"/>
                <w:color w:val="auto"/>
                <w:sz w:val="24"/>
                <w:szCs w:val="24"/>
              </w:rPr>
              <w:t>1000(µg/mL),50mL</w:t>
            </w:r>
            <w:r>
              <w:rPr>
                <w:rStyle w:val="39"/>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269</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硼单元素溶液标准物质</w:t>
            </w:r>
            <w:r>
              <w:rPr>
                <w:rStyle w:val="37"/>
                <w:rFonts w:ascii="仿宋" w:eastAsia="仿宋" w:cs="仿宋" w:hint="eastAsia"/>
                <w:color w:val="auto"/>
                <w:sz w:val="24"/>
                <w:szCs w:val="24"/>
              </w:rPr>
              <w:t>B</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8"/>
                <w:rFonts w:ascii="仿宋" w:eastAsia="仿宋" w:cs="仿宋" w:hint="eastAsia"/>
                <w:color w:val="auto"/>
                <w:sz w:val="24"/>
                <w:szCs w:val="24"/>
              </w:rPr>
              <w:t>1000(µg/mL),50mL</w:t>
            </w:r>
            <w:r>
              <w:rPr>
                <w:rStyle w:val="39"/>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270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钾单元素溶液标准物质</w:t>
            </w:r>
            <w:r>
              <w:rPr>
                <w:rStyle w:val="37"/>
                <w:rFonts w:ascii="仿宋" w:eastAsia="仿宋" w:cs="仿宋" w:hint="eastAsia"/>
                <w:color w:val="auto"/>
                <w:sz w:val="24"/>
                <w:szCs w:val="24"/>
              </w:rPr>
              <w:t>K</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8"/>
                <w:rFonts w:ascii="仿宋" w:eastAsia="仿宋" w:cs="仿宋" w:hint="eastAsia"/>
                <w:color w:val="auto"/>
                <w:sz w:val="24"/>
                <w:szCs w:val="24"/>
              </w:rPr>
              <w:t>1000(µg/mL),50mL</w:t>
            </w:r>
            <w:r>
              <w:rPr>
                <w:rStyle w:val="39"/>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271</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钠单元素溶液标准物质</w:t>
            </w:r>
            <w:r>
              <w:rPr>
                <w:rStyle w:val="37"/>
                <w:rFonts w:ascii="仿宋" w:eastAsia="仿宋" w:cs="仿宋" w:hint="eastAsia"/>
                <w:color w:val="auto"/>
                <w:sz w:val="24"/>
                <w:szCs w:val="24"/>
              </w:rPr>
              <w:t>Na</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8"/>
                <w:rFonts w:ascii="仿宋" w:eastAsia="仿宋" w:cs="仿宋" w:hint="eastAsia"/>
                <w:color w:val="auto"/>
                <w:sz w:val="24"/>
                <w:szCs w:val="24"/>
              </w:rPr>
              <w:t>1000(µg/mL),50mL</w:t>
            </w:r>
            <w:r>
              <w:rPr>
                <w:rStyle w:val="39"/>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272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钙单元素溶液标准物质</w:t>
            </w:r>
            <w:r>
              <w:rPr>
                <w:rStyle w:val="37"/>
                <w:rFonts w:ascii="仿宋" w:eastAsia="仿宋" w:cs="仿宋" w:hint="eastAsia"/>
                <w:color w:val="auto"/>
                <w:sz w:val="24"/>
                <w:szCs w:val="24"/>
              </w:rPr>
              <w:t>Ca</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8"/>
                <w:rFonts w:ascii="仿宋" w:eastAsia="仿宋" w:cs="仿宋" w:hint="eastAsia"/>
                <w:color w:val="auto"/>
                <w:sz w:val="24"/>
                <w:szCs w:val="24"/>
              </w:rPr>
              <w:t>1000(µg/mL),50mL</w:t>
            </w:r>
            <w:r>
              <w:rPr>
                <w:rStyle w:val="39"/>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273</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6"/>
                <w:rFonts w:ascii="仿宋" w:eastAsia="仿宋" w:cs="仿宋"/>
                <w:color w:val="auto"/>
                <w:sz w:val="24"/>
                <w:szCs w:val="24"/>
              </w:rPr>
              <w:t>镁单元素溶液标准物质</w:t>
            </w:r>
            <w:r>
              <w:rPr>
                <w:rStyle w:val="37"/>
                <w:rFonts w:ascii="仿宋" w:eastAsia="仿宋" w:cs="仿宋" w:hint="eastAsia"/>
                <w:color w:val="auto"/>
                <w:sz w:val="24"/>
                <w:szCs w:val="24"/>
              </w:rPr>
              <w:t>Mg</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8"/>
                <w:rFonts w:ascii="仿宋" w:eastAsia="仿宋" w:cs="仿宋" w:hint="eastAsia"/>
                <w:color w:val="auto"/>
                <w:sz w:val="24"/>
                <w:szCs w:val="24"/>
              </w:rPr>
              <w:t>1000(µg/mL),50mL</w:t>
            </w:r>
            <w:r>
              <w:rPr>
                <w:rStyle w:val="39"/>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274</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盐酸滴定溶液标准物质（1mol/L）</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1mol/L,500mL</w:t>
            </w:r>
            <w:r>
              <w:rPr>
                <w:rStyle w:val="36"/>
                <w:rFonts w:ascii="仿宋" w:eastAsia="仿宋" w:cs="仿宋"/>
                <w:color w:val="auto"/>
                <w:sz w:val="24"/>
                <w:szCs w:val="24"/>
              </w:rPr>
              <w:t>；符合</w:t>
            </w:r>
            <w:r>
              <w:rPr>
                <w:rStyle w:val="37"/>
                <w:rFonts w:ascii="仿宋" w:eastAsia="仿宋" w:cs="仿宋" w:hint="eastAsia"/>
                <w:color w:val="auto"/>
                <w:sz w:val="24"/>
                <w:szCs w:val="24"/>
              </w:rPr>
              <w:t>[GB/T 601-2016/</w:t>
            </w:r>
            <w:r>
              <w:rPr>
                <w:rStyle w:val="36"/>
                <w:rFonts w:ascii="仿宋" w:eastAsia="仿宋" w:cs="仿宋"/>
                <w:color w:val="auto"/>
                <w:sz w:val="24"/>
                <w:szCs w:val="24"/>
              </w:rPr>
              <w:t>药典</w:t>
            </w:r>
            <w:r>
              <w:rPr>
                <w:rStyle w:val="37"/>
                <w:rFonts w:ascii="仿宋" w:eastAsia="仿宋" w:cs="仿宋" w:hint="eastAsia"/>
                <w:color w:val="auto"/>
                <w:sz w:val="24"/>
                <w:szCs w:val="24"/>
              </w:rPr>
              <w:t>2025</w:t>
            </w:r>
            <w:r>
              <w:rPr>
                <w:rStyle w:val="36"/>
                <w:rFonts w:ascii="仿宋" w:eastAsia="仿宋" w:cs="仿宋"/>
                <w:color w:val="auto"/>
                <w:sz w:val="24"/>
                <w:szCs w:val="24"/>
              </w:rPr>
              <w:t>版</w:t>
            </w:r>
            <w:r>
              <w:rPr>
                <w:rStyle w:val="37"/>
                <w:rFonts w:ascii="仿宋" w:eastAsia="仿宋" w:cs="仿宋" w:hint="eastAsia"/>
                <w:color w:val="auto"/>
                <w:sz w:val="24"/>
                <w:szCs w:val="24"/>
              </w:rPr>
              <w:t>]</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275</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盐酸滴定溶液标准物质（0.3mol/L）</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0.3mol/L</w:t>
            </w:r>
            <w:r>
              <w:rPr>
                <w:rStyle w:val="36"/>
                <w:rFonts w:ascii="仿宋" w:eastAsia="仿宋" w:cs="仿宋"/>
                <w:color w:val="auto"/>
                <w:sz w:val="24"/>
                <w:szCs w:val="24"/>
              </w:rPr>
              <w:t>，</w:t>
            </w:r>
            <w:r>
              <w:rPr>
                <w:rStyle w:val="37"/>
                <w:rFonts w:ascii="仿宋" w:eastAsia="仿宋" w:cs="仿宋" w:hint="eastAsia"/>
                <w:color w:val="auto"/>
                <w:sz w:val="24"/>
                <w:szCs w:val="24"/>
              </w:rPr>
              <w:t>1L;</w:t>
            </w:r>
            <w:r>
              <w:rPr>
                <w:rStyle w:val="36"/>
                <w:rFonts w:ascii="仿宋" w:eastAsia="仿宋" w:cs="仿宋"/>
                <w:color w:val="auto"/>
                <w:sz w:val="24"/>
                <w:szCs w:val="24"/>
              </w:rPr>
              <w:t>符合</w:t>
            </w:r>
            <w:r>
              <w:rPr>
                <w:rStyle w:val="37"/>
                <w:rFonts w:ascii="仿宋" w:eastAsia="仿宋" w:cs="仿宋" w:hint="eastAsia"/>
                <w:color w:val="auto"/>
                <w:sz w:val="24"/>
                <w:szCs w:val="24"/>
              </w:rPr>
              <w:t>[GB/T 601-2016/</w:t>
            </w:r>
            <w:r>
              <w:rPr>
                <w:rStyle w:val="36"/>
                <w:rFonts w:ascii="仿宋" w:eastAsia="仿宋" w:cs="仿宋"/>
                <w:color w:val="auto"/>
                <w:sz w:val="24"/>
                <w:szCs w:val="24"/>
              </w:rPr>
              <w:t>药典</w:t>
            </w:r>
            <w:r>
              <w:rPr>
                <w:rStyle w:val="37"/>
                <w:rFonts w:ascii="仿宋" w:eastAsia="仿宋" w:cs="仿宋" w:hint="eastAsia"/>
                <w:color w:val="auto"/>
                <w:sz w:val="24"/>
                <w:szCs w:val="24"/>
              </w:rPr>
              <w:t>2025</w:t>
            </w:r>
            <w:r>
              <w:rPr>
                <w:rStyle w:val="36"/>
                <w:rFonts w:ascii="仿宋" w:eastAsia="仿宋" w:cs="仿宋"/>
                <w:color w:val="auto"/>
                <w:sz w:val="24"/>
                <w:szCs w:val="24"/>
              </w:rPr>
              <w:t>版</w:t>
            </w:r>
            <w:r>
              <w:rPr>
                <w:rStyle w:val="37"/>
                <w:rFonts w:ascii="仿宋" w:eastAsia="仿宋" w:cs="仿宋" w:hint="eastAsia"/>
                <w:color w:val="auto"/>
                <w:sz w:val="24"/>
                <w:szCs w:val="24"/>
              </w:rPr>
              <w:t>]</w:t>
            </w:r>
            <w:r>
              <w:rPr>
                <w:rStyle w:val="36"/>
                <w:rFonts w:ascii="仿宋" w:eastAsia="仿宋" w:cs="仿宋"/>
                <w:color w:val="auto"/>
                <w:sz w:val="24"/>
                <w:szCs w:val="24"/>
              </w:rPr>
              <w:t>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276</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37"/>
                <w:rFonts w:ascii="仿宋" w:eastAsia="仿宋" w:cs="仿宋" w:hint="eastAsia"/>
                <w:color w:val="auto"/>
                <w:sz w:val="24"/>
                <w:szCs w:val="24"/>
              </w:rPr>
              <w:t>9</w:t>
            </w:r>
            <w:r>
              <w:rPr>
                <w:rStyle w:val="36"/>
                <w:rFonts w:ascii="仿宋" w:eastAsia="仿宋" w:cs="仿宋"/>
                <w:color w:val="auto"/>
                <w:sz w:val="24"/>
                <w:szCs w:val="24"/>
              </w:rPr>
              <w:t>种</w:t>
            </w:r>
            <w:r>
              <w:rPr>
                <w:rStyle w:val="37"/>
                <w:rFonts w:ascii="仿宋" w:eastAsia="仿宋" w:cs="仿宋" w:hint="eastAsia"/>
                <w:color w:val="auto"/>
                <w:sz w:val="24"/>
                <w:szCs w:val="24"/>
              </w:rPr>
              <w:t>VOC</w:t>
            </w:r>
            <w:r>
              <w:rPr>
                <w:rStyle w:val="36"/>
                <w:rFonts w:ascii="仿宋" w:eastAsia="仿宋" w:cs="仿宋"/>
                <w:color w:val="auto"/>
                <w:sz w:val="24"/>
                <w:szCs w:val="24"/>
              </w:rPr>
              <w:t>混标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≥1000μg/mL,2ml/瓶   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36"/>
                <w:rFonts w:ascii="仿宋" w:eastAsia="仿宋" w:cs="仿宋"/>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240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277</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泸州分部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40"/>
                <w:rFonts w:ascii="仿宋" w:eastAsia="仿宋" w:cs="仿宋" w:hint="eastAsia"/>
                <w:color w:val="auto"/>
              </w:rPr>
              <w:t>PH</w:t>
            </w:r>
            <w:r>
              <w:rPr>
                <w:rStyle w:val="41"/>
                <w:rFonts w:ascii="仿宋" w:eastAsia="仿宋" w:cs="仿宋" w:hint="eastAsia"/>
                <w:color w:val="auto"/>
              </w:rPr>
              <w:t>缓冲液</w:t>
            </w:r>
            <w:r>
              <w:rPr>
                <w:rStyle w:val="40"/>
                <w:rFonts w:ascii="仿宋" w:eastAsia="仿宋" w:cs="仿宋" w:hint="eastAsia"/>
                <w:color w:val="auto"/>
              </w:rPr>
              <w:t>4.01</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≥250mL/瓶，有标准物质证书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41"/>
                <w:rFonts w:ascii="仿宋" w:eastAsia="仿宋" w:cs="仿宋" w:hint="eastAsia"/>
                <w:color w:val="auto"/>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278</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泸州分部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40"/>
                <w:rFonts w:ascii="仿宋" w:eastAsia="仿宋" w:cs="仿宋" w:hint="eastAsia"/>
                <w:color w:val="auto"/>
              </w:rPr>
              <w:t>PH</w:t>
            </w:r>
            <w:r>
              <w:rPr>
                <w:rStyle w:val="41"/>
                <w:rFonts w:ascii="仿宋" w:eastAsia="仿宋" w:cs="仿宋" w:hint="eastAsia"/>
                <w:color w:val="auto"/>
              </w:rPr>
              <w:t>缓冲液</w:t>
            </w:r>
            <w:r>
              <w:rPr>
                <w:rStyle w:val="40"/>
                <w:rFonts w:ascii="仿宋" w:eastAsia="仿宋" w:cs="仿宋" w:hint="eastAsia"/>
                <w:color w:val="auto"/>
              </w:rPr>
              <w:t>7.00</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≥250mL/瓶，有标准物质证书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41"/>
                <w:rFonts w:ascii="仿宋" w:eastAsia="仿宋" w:cs="仿宋" w:hint="eastAsia"/>
                <w:color w:val="auto"/>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279</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泸州分部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40"/>
                <w:rFonts w:ascii="仿宋" w:eastAsia="仿宋" w:cs="仿宋" w:hint="eastAsia"/>
                <w:color w:val="auto"/>
              </w:rPr>
              <w:t>PH</w:t>
            </w:r>
            <w:r>
              <w:rPr>
                <w:rStyle w:val="41"/>
                <w:rFonts w:ascii="仿宋" w:eastAsia="仿宋" w:cs="仿宋" w:hint="eastAsia"/>
                <w:color w:val="auto"/>
              </w:rPr>
              <w:t>缓冲液</w:t>
            </w:r>
            <w:r>
              <w:rPr>
                <w:rStyle w:val="40"/>
                <w:rFonts w:ascii="仿宋" w:eastAsia="仿宋" w:cs="仿宋" w:hint="eastAsia"/>
                <w:color w:val="auto"/>
              </w:rPr>
              <w:t>9.21</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42"/>
                <w:rFonts w:ascii="仿宋" w:eastAsia="仿宋" w:cs="仿宋"/>
                <w:color w:val="auto"/>
              </w:rPr>
              <w:t>≥</w:t>
            </w:r>
            <w:r>
              <w:rPr>
                <w:rStyle w:val="40"/>
                <w:rFonts w:ascii="仿宋" w:eastAsia="仿宋" w:cs="仿宋" w:hint="eastAsia"/>
                <w:color w:val="auto"/>
              </w:rPr>
              <w:t>250 mL/</w:t>
            </w:r>
            <w:r>
              <w:rPr>
                <w:rStyle w:val="41"/>
                <w:rFonts w:ascii="仿宋" w:eastAsia="仿宋" w:cs="仿宋" w:hint="eastAsia"/>
                <w:color w:val="auto"/>
              </w:rPr>
              <w:t>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41"/>
                <w:rFonts w:ascii="仿宋" w:eastAsia="仿宋" w:cs="仿宋" w:hint="eastAsia"/>
                <w:color w:val="auto"/>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280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泸州分部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氰化物标准溶液（50ml）</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≥1000μg/mL,50ml/瓶,有标准物质证书</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41"/>
                <w:rFonts w:ascii="仿宋" w:eastAsia="仿宋" w:cs="仿宋" w:hint="eastAsia"/>
                <w:color w:val="auto"/>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281</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泸州分部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41"/>
                <w:rFonts w:ascii="仿宋" w:eastAsia="仿宋" w:cs="仿宋" w:hint="eastAsia"/>
                <w:color w:val="auto"/>
              </w:rPr>
              <w:t>塑化剂</w:t>
            </w:r>
            <w:r>
              <w:rPr>
                <w:rStyle w:val="40"/>
                <w:rFonts w:ascii="仿宋" w:eastAsia="仿宋" w:cs="仿宋" w:hint="eastAsia"/>
                <w:color w:val="auto"/>
              </w:rPr>
              <w:t>6P</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w:t>
            </w:r>
            <w:r>
              <w:rPr>
                <w:rStyle w:val="40"/>
                <w:rFonts w:ascii="仿宋" w:eastAsia="仿宋" w:cs="仿宋" w:hint="eastAsia"/>
                <w:color w:val="auto"/>
              </w:rPr>
              <w:t>5000mg/L</w:t>
            </w:r>
            <w:r>
              <w:rPr>
                <w:rStyle w:val="41"/>
                <w:rFonts w:ascii="仿宋" w:eastAsia="仿宋" w:cs="仿宋" w:hint="eastAsia"/>
                <w:color w:val="auto"/>
              </w:rPr>
              <w:t>溶剂正己烷，</w:t>
            </w:r>
            <w:r>
              <w:rPr>
                <w:rStyle w:val="40"/>
                <w:rFonts w:ascii="仿宋" w:eastAsia="仿宋" w:cs="仿宋" w:hint="eastAsia"/>
                <w:color w:val="auto"/>
              </w:rPr>
              <w:t>1mL</w:t>
            </w:r>
            <w:r>
              <w:rPr>
                <w:rStyle w:val="41"/>
                <w:rFonts w:ascii="仿宋" w:eastAsia="仿宋" w:cs="仿宋" w:hint="eastAsia"/>
                <w:color w:val="auto"/>
              </w:rPr>
              <w:t>，含</w:t>
            </w:r>
            <w:r>
              <w:rPr>
                <w:rStyle w:val="40"/>
                <w:rFonts w:ascii="仿宋" w:eastAsia="仿宋" w:cs="仿宋" w:hint="eastAsia"/>
                <w:color w:val="auto"/>
              </w:rPr>
              <w:t>DBP 1000mg/ml</w:t>
            </w:r>
            <w:r>
              <w:rPr>
                <w:rStyle w:val="41"/>
                <w:rFonts w:ascii="仿宋" w:eastAsia="仿宋" w:cs="仿宋" w:hint="eastAsia"/>
                <w:color w:val="auto"/>
              </w:rPr>
              <w:t>，</w:t>
            </w:r>
            <w:r>
              <w:rPr>
                <w:rStyle w:val="40"/>
                <w:rFonts w:ascii="仿宋" w:eastAsia="仿宋" w:cs="仿宋" w:hint="eastAsia"/>
                <w:color w:val="auto"/>
              </w:rPr>
              <w:t>BBP 1000mg/ml</w:t>
            </w:r>
            <w:r>
              <w:rPr>
                <w:rStyle w:val="41"/>
                <w:rFonts w:ascii="仿宋" w:eastAsia="仿宋" w:cs="仿宋" w:hint="eastAsia"/>
                <w:color w:val="auto"/>
              </w:rPr>
              <w:t>，</w:t>
            </w:r>
            <w:r>
              <w:rPr>
                <w:rStyle w:val="40"/>
                <w:rFonts w:ascii="仿宋" w:eastAsia="仿宋" w:cs="仿宋" w:hint="eastAsia"/>
                <w:color w:val="auto"/>
              </w:rPr>
              <w:t>DEHP 1000mg/ml</w:t>
            </w:r>
            <w:r>
              <w:rPr>
                <w:rStyle w:val="41"/>
                <w:rFonts w:ascii="仿宋" w:eastAsia="仿宋" w:cs="仿宋" w:hint="eastAsia"/>
                <w:color w:val="auto"/>
              </w:rPr>
              <w:t>，</w:t>
            </w:r>
            <w:r>
              <w:rPr>
                <w:rStyle w:val="40"/>
                <w:rFonts w:ascii="仿宋" w:eastAsia="仿宋" w:cs="仿宋" w:hint="eastAsia"/>
                <w:color w:val="auto"/>
              </w:rPr>
              <w:t>DNOP 1000mg/ml</w:t>
            </w:r>
            <w:r>
              <w:rPr>
                <w:rStyle w:val="41"/>
                <w:rFonts w:ascii="仿宋" w:eastAsia="仿宋" w:cs="仿宋" w:hint="eastAsia"/>
                <w:color w:val="auto"/>
              </w:rPr>
              <w:t>，</w:t>
            </w:r>
            <w:r>
              <w:rPr>
                <w:rStyle w:val="40"/>
                <w:rFonts w:ascii="仿宋" w:eastAsia="仿宋" w:cs="仿宋" w:hint="eastAsia"/>
                <w:color w:val="auto"/>
              </w:rPr>
              <w:t>DINP 5000mg/ml</w:t>
            </w:r>
            <w:r>
              <w:rPr>
                <w:rStyle w:val="41"/>
                <w:rFonts w:ascii="仿宋" w:eastAsia="仿宋" w:cs="仿宋" w:hint="eastAsia"/>
                <w:color w:val="auto"/>
              </w:rPr>
              <w:t>，</w:t>
            </w:r>
            <w:r>
              <w:rPr>
                <w:rStyle w:val="40"/>
                <w:rFonts w:ascii="仿宋" w:eastAsia="仿宋" w:cs="仿宋" w:hint="eastAsia"/>
                <w:color w:val="auto"/>
              </w:rPr>
              <w:t xml:space="preserve">DIDP 5000mg/ml. </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480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41"/>
                <w:rFonts w:ascii="仿宋" w:eastAsia="仿宋" w:cs="仿宋" w:hint="eastAsia"/>
                <w:color w:val="auto"/>
              </w:rPr>
              <w:t>支</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480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282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泸州分部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甲醇标准物质</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2mL/支</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114</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支</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228</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283</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泸州分部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41"/>
                <w:rFonts w:ascii="仿宋" w:eastAsia="仿宋" w:cs="仿宋" w:hint="eastAsia"/>
                <w:color w:val="auto"/>
              </w:rPr>
              <w:t>己酸乙酯</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40"/>
                <w:rFonts w:ascii="仿宋" w:eastAsia="仿宋" w:cs="仿宋" w:hint="eastAsia"/>
                <w:color w:val="auto"/>
              </w:rPr>
              <w:t>5 g/</w:t>
            </w:r>
            <w:r>
              <w:rPr>
                <w:rStyle w:val="41"/>
                <w:rFonts w:ascii="仿宋" w:eastAsia="仿宋" w:cs="仿宋" w:hint="eastAsia"/>
                <w:color w:val="auto"/>
              </w:rPr>
              <w:t>支</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33</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41"/>
                <w:rFonts w:ascii="仿宋" w:eastAsia="仿宋" w:cs="仿宋" w:hint="eastAsia"/>
                <w:color w:val="auto"/>
              </w:rPr>
              <w:t>支</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33</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284</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泸州分部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41"/>
                <w:rFonts w:ascii="仿宋" w:eastAsia="仿宋" w:cs="仿宋" w:hint="eastAsia"/>
                <w:color w:val="auto"/>
              </w:rPr>
              <w:t>乙酸戊酯</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40"/>
                <w:rFonts w:ascii="仿宋" w:eastAsia="仿宋" w:cs="仿宋" w:hint="eastAsia"/>
                <w:color w:val="auto"/>
              </w:rPr>
              <w:t>1 g/</w:t>
            </w:r>
            <w:r>
              <w:rPr>
                <w:rStyle w:val="41"/>
                <w:rFonts w:ascii="仿宋" w:eastAsia="仿宋" w:cs="仿宋" w:hint="eastAsia"/>
                <w:color w:val="auto"/>
              </w:rPr>
              <w:t>支</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39</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41"/>
                <w:rFonts w:ascii="仿宋" w:eastAsia="仿宋" w:cs="仿宋" w:hint="eastAsia"/>
                <w:color w:val="auto"/>
              </w:rPr>
              <w:t>支</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78</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285</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泸州分部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41"/>
                <w:rFonts w:ascii="仿宋" w:eastAsia="仿宋" w:cs="仿宋" w:hint="eastAsia"/>
                <w:color w:val="auto"/>
              </w:rPr>
              <w:t>叔戊醇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40"/>
                <w:rFonts w:ascii="仿宋" w:eastAsia="仿宋" w:cs="仿宋" w:hint="eastAsia"/>
                <w:color w:val="auto"/>
              </w:rPr>
              <w:t>1 g/</w:t>
            </w:r>
            <w:r>
              <w:rPr>
                <w:rStyle w:val="41"/>
                <w:rFonts w:ascii="仿宋" w:eastAsia="仿宋" w:cs="仿宋" w:hint="eastAsia"/>
                <w:color w:val="auto"/>
              </w:rPr>
              <w:t>支</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128</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41"/>
                <w:rFonts w:ascii="仿宋" w:eastAsia="仿宋" w:cs="仿宋" w:hint="eastAsia"/>
                <w:color w:val="auto"/>
              </w:rPr>
              <w:t>支</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256</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286</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泸州分部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41"/>
                <w:rFonts w:ascii="仿宋" w:eastAsia="仿宋" w:cs="仿宋" w:hint="eastAsia"/>
                <w:color w:val="auto"/>
              </w:rPr>
              <w:t>糖精钠</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 mg/L,10mL</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41"/>
                <w:rFonts w:ascii="仿宋" w:eastAsia="仿宋" w:cs="仿宋" w:hint="eastAsia"/>
                <w:color w:val="auto"/>
              </w:rPr>
              <w:t>支</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287</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泸州分部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41"/>
                <w:rFonts w:ascii="仿宋" w:eastAsia="仿宋" w:cs="仿宋" w:hint="eastAsia"/>
                <w:color w:val="auto"/>
              </w:rPr>
              <w:t>环己基氨基磺酸钠</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★1000ug/mL,5mL</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15</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41"/>
                <w:rFonts w:ascii="仿宋" w:eastAsia="仿宋" w:cs="仿宋" w:hint="eastAsia"/>
                <w:color w:val="auto"/>
              </w:rPr>
              <w:t>支</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15</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288</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泸州分部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41"/>
                <w:rFonts w:ascii="仿宋" w:eastAsia="仿宋" w:cs="仿宋" w:hint="eastAsia"/>
                <w:color w:val="auto"/>
              </w:rPr>
              <w:t>环己基氨基磺酸钠</w:t>
            </w:r>
            <w:r>
              <w:rPr>
                <w:rStyle w:val="40"/>
                <w:rFonts w:ascii="仿宋" w:eastAsia="仿宋" w:cs="仿宋" w:hint="eastAsia"/>
                <w:color w:val="auto"/>
              </w:rPr>
              <w:t>-D4</w:t>
            </w:r>
            <w:r>
              <w:rPr>
                <w:rStyle w:val="41"/>
                <w:rFonts w:ascii="仿宋" w:eastAsia="仿宋" w:cs="仿宋" w:hint="eastAsia"/>
                <w:color w:val="auto"/>
              </w:rPr>
              <w:t>同位素内标</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▲1000ug/mL,1mL</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Style w:val="41"/>
                <w:rFonts w:ascii="仿宋" w:eastAsia="仿宋" w:cs="仿宋" w:hint="eastAsia"/>
                <w:color w:val="auto"/>
              </w:rPr>
              <w:t>支</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289</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德阳分部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黄磷标准溶液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1000ug/mL；≥1.5mL/瓶</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290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德阳分部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 xml:space="preserve">复合肥料中缩二脲质控样品 </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0.43%、 20g/瓶</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396</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396</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291</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德阳分部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 xml:space="preserve">尿素中缩二脲质控样品 </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0.81% 、20g/瓶</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679</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679</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292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德阳分部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水中缩二脲溶液标准物质</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1000ug/mL、500mL/瓶</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62</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124</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293</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德阳分部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水中缩二脲溶液标准物质(HPLC)</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 、(HPLC)20mL/瓶</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113</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226</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294</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德阳分部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铬标准溶液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1000mg/L,50mL</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295</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德阳分部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铅标准溶液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1000mg/L,50mL</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296</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德阳分部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钠标准溶液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1000mg/L,50mL</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297</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德阳分部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水中氯离子标准溶液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1000mg/L,50mL</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298</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德阳分部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铊标准溶液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1000mg/L,50mL</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299</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德阳分部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氟标准溶液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1000mg/L,50mL</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55</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55</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300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德阳分部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赤鲜红</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1000mg/L,5mL</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88</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176</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301</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德阳分部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新红</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1000mg/L,5mL</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88</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176</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302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德阳分部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诱惑红</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1000mg/L,5mL</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88</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176</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303</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德阳分部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亮蓝</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1000mg/L,5mL</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88</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176</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304</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德阳分部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柠檬黄</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1000mg/L,5mL</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88</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176</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305</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德阳分部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苋菜红</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1000mg/L,5mL</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88</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176</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306</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德阳分部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胭脂红</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1000mg/L,5mL</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88</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176</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307</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德阳分部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日落黄</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1000mg/L,5mL</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88</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176</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308</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德阳分部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靛蓝</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1000mg/L,5mL</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88</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176</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309</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德阳分部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酸性红</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1000mg/L,5mL</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88</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176</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310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德阳分部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喹啉黄</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1000mg/L,5mL</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88</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176</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311</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德阳分部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菌落总数标准菌株</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(2.6+0.6)X10^3CFU/瓶</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2000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支</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2000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312</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德阳分部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镉标准溶液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1000mg/L,50mL</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313</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德阳分部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钙标准溶液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1000mg/L,50mL</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314</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德阳分部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镁标准溶液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1000mg/L,50mL</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315</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德阳分部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钾标准溶液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1000mg/L,50mL</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316</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德阳分部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汞标准溶液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1000mg/L,50mL</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317</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德阳分部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铁标准溶液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1000mg/L,50mL</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318</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德阳分部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铜标准溶液</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1000mg/L,50mL</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319</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德阳分部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饲料中铜含量质控样</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50g/瓶</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900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900</w:t>
            </w:r>
          </w:p>
        </w:tc>
      </w:tr>
      <w:tr>
        <w:tc>
          <w:tcPr>
            <w:tcW w:w="60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320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bottom"/>
              <w:rPr>
                <w:rFonts w:ascii="仿宋" w:eastAsia="仿宋" w:cs="仿宋"/>
                <w:color w:val="auto"/>
                <w:sz w:val="24"/>
                <w:szCs w:val="24"/>
              </w:rPr>
            </w:pPr>
            <w:r>
              <w:rPr>
                <w:rFonts w:ascii="仿宋" w:eastAsia="仿宋" w:cs="仿宋" w:hint="eastAsia"/>
                <w:color w:val="auto"/>
                <w:sz w:val="24"/>
                <w:szCs w:val="24"/>
              </w:rPr>
              <w:t>德阳分部</w:t>
            </w:r>
          </w:p>
        </w:tc>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饲料中粗灰分、粗纤维定量分析质控</w:t>
            </w:r>
          </w:p>
        </w:tc>
        <w:tc>
          <w:tcPr>
            <w:tcW w:w="334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50g</w:t>
            </w:r>
          </w:p>
        </w:tc>
        <w:tc>
          <w:tcPr>
            <w:tcW w:w="108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1000</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252"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1000</w:t>
            </w:r>
          </w:p>
        </w:tc>
      </w:tr>
    </w:tbl>
    <w:p>
      <w:pPr>
        <w:rPr>
          <w:rFonts w:ascii="仿宋" w:eastAsia="仿宋" w:cs="仿宋" w:hint="eastAsia"/>
          <w:b/>
          <w:bCs/>
          <w:color w:val="auto"/>
          <w:sz w:val="28"/>
          <w:szCs w:val="21"/>
          <w:lang w:eastAsia="zh-CN"/>
        </w:rPr>
      </w:pPr>
      <w:r>
        <w:rPr>
          <w:rFonts w:ascii="仿宋" w:eastAsia="仿宋" w:cs="仿宋" w:hint="eastAsia"/>
          <w:b/>
          <w:bCs/>
          <w:color w:val="auto"/>
          <w:sz w:val="28"/>
          <w:szCs w:val="21"/>
          <w:lang w:eastAsia="zh-CN"/>
        </w:rPr>
        <w:t>注：本包涉及的有标准物质证书，供应商需在供货时提供相应标准物质证书（纸质），投标时响应即可。</w:t>
      </w:r>
    </w:p>
    <w:p>
      <w:pPr>
        <w:jc w:val="center"/>
        <w:rPr>
          <w:rFonts w:ascii="仿宋" w:eastAsia="仿宋" w:cs="仿宋"/>
          <w:b/>
          <w:bCs/>
          <w:color w:val="auto"/>
          <w:sz w:val="28"/>
          <w:szCs w:val="28"/>
        </w:rPr>
      </w:pPr>
      <w:r>
        <w:rPr>
          <w:rFonts w:ascii="仿宋" w:eastAsia="仿宋" w:cs="仿宋" w:hint="eastAsia"/>
          <w:b/>
          <w:bCs/>
          <w:color w:val="auto"/>
          <w:sz w:val="28"/>
          <w:szCs w:val="28"/>
        </w:rPr>
        <w:t>第二包：配件类耗材</w:t>
      </w:r>
    </w:p>
    <w:tbl>
      <w:tblPr>
        <w:jc w:val="center"/>
        <w:tblW w:w="9961"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587"/>
        <w:gridCol w:w="686"/>
        <w:gridCol w:w="1181"/>
        <w:gridCol w:w="4166"/>
        <w:gridCol w:w="1017"/>
        <w:gridCol w:w="708"/>
        <w:gridCol w:w="439"/>
        <w:gridCol w:w="1177"/>
      </w:tblGrid>
      <w:tr>
        <w:trPr>
          <w:tblHeader/>
        </w:trP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b/>
                <w:bCs/>
                <w:color w:val="auto"/>
                <w:sz w:val="24"/>
                <w:szCs w:val="24"/>
              </w:rPr>
            </w:pPr>
            <w:r>
              <w:rPr>
                <w:rFonts w:ascii="仿宋" w:eastAsia="仿宋" w:cs="仿宋" w:hint="eastAsia"/>
                <w:b/>
                <w:bCs/>
                <w:color w:val="auto"/>
                <w:sz w:val="24"/>
                <w:szCs w:val="24"/>
              </w:rPr>
              <w:t>序号</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b/>
                <w:bCs/>
                <w:color w:val="auto"/>
                <w:sz w:val="24"/>
                <w:szCs w:val="24"/>
              </w:rPr>
            </w:pPr>
            <w:r>
              <w:rPr>
                <w:rFonts w:ascii="仿宋" w:eastAsia="仿宋" w:cs="仿宋" w:hint="eastAsia"/>
                <w:b/>
                <w:bCs/>
                <w:color w:val="auto"/>
                <w:sz w:val="24"/>
                <w:szCs w:val="24"/>
              </w:rPr>
              <w:t>需求部门</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b/>
                <w:bCs/>
                <w:color w:val="auto"/>
                <w:sz w:val="24"/>
                <w:szCs w:val="24"/>
              </w:rPr>
            </w:pPr>
            <w:r>
              <w:rPr>
                <w:rFonts w:ascii="仿宋" w:eastAsia="仿宋" w:cs="仿宋" w:hint="eastAsia"/>
                <w:b/>
                <w:bCs/>
                <w:color w:val="auto"/>
                <w:sz w:val="24"/>
                <w:szCs w:val="24"/>
              </w:rPr>
              <w:t>品名（标的名称）</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b/>
                <w:bCs/>
                <w:color w:val="auto"/>
                <w:sz w:val="24"/>
                <w:szCs w:val="24"/>
              </w:rPr>
            </w:pPr>
            <w:r>
              <w:rPr>
                <w:rFonts w:ascii="仿宋" w:eastAsia="仿宋" w:cs="仿宋" w:hint="eastAsia"/>
                <w:b/>
                <w:bCs/>
                <w:color w:val="auto"/>
                <w:sz w:val="24"/>
                <w:szCs w:val="24"/>
              </w:rPr>
              <w:t>规格型号及技术要求</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b/>
                <w:bCs/>
                <w:color w:val="auto"/>
                <w:sz w:val="24"/>
                <w:szCs w:val="24"/>
              </w:rPr>
            </w:pPr>
            <w:r>
              <w:rPr>
                <w:rStyle w:val="43"/>
                <w:color w:val="auto"/>
                <w:sz w:val="24"/>
                <w:szCs w:val="24"/>
              </w:rPr>
              <w:t>★</w:t>
            </w:r>
            <w:r>
              <w:rPr>
                <w:rStyle w:val="43"/>
                <w:rFonts w:ascii="仿宋" w:eastAsia="仿宋" w:cs="仿宋"/>
                <w:color w:val="auto"/>
                <w:sz w:val="24"/>
                <w:szCs w:val="24"/>
              </w:rPr>
              <w:t>限价</w:t>
            </w:r>
            <w:r>
              <w:rPr>
                <w:rFonts w:ascii="仿宋" w:eastAsia="仿宋" w:cs="仿宋" w:hint="eastAsia"/>
                <w:b/>
                <w:bCs/>
                <w:color w:val="auto"/>
                <w:sz w:val="24"/>
                <w:szCs w:val="24"/>
              </w:rPr>
              <w:t>单价</w:t>
            </w:r>
          </w:p>
          <w:p>
            <w:pPr>
              <w:widowControl/>
              <w:snapToGrid w:val="0"/>
              <w:jc w:val="center"/>
              <w:textAlignment w:val="center"/>
              <w:rPr>
                <w:rFonts w:ascii="仿宋" w:eastAsia="仿宋" w:cs="仿宋"/>
                <w:b/>
                <w:bCs/>
                <w:color w:val="auto"/>
                <w:sz w:val="24"/>
                <w:szCs w:val="24"/>
              </w:rPr>
            </w:pPr>
            <w:r>
              <w:rPr>
                <w:rFonts w:ascii="仿宋" w:eastAsia="仿宋" w:cs="仿宋" w:hint="eastAsia"/>
                <w:b/>
                <w:bCs/>
                <w:color w:val="auto"/>
                <w:sz w:val="24"/>
                <w:szCs w:val="24"/>
              </w:rPr>
              <w:t>（元）</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b/>
                <w:bCs/>
                <w:color w:val="auto"/>
                <w:sz w:val="24"/>
                <w:szCs w:val="24"/>
              </w:rPr>
            </w:pPr>
            <w:r>
              <w:rPr>
                <w:rStyle w:val="44"/>
                <w:rFonts w:ascii="仿宋" w:eastAsia="仿宋" w:cs="仿宋" w:hint="eastAsia"/>
                <w:color w:val="auto"/>
                <w:sz w:val="24"/>
                <w:szCs w:val="24"/>
              </w:rPr>
              <w:t>预估</w:t>
            </w:r>
            <w:r>
              <w:rPr>
                <w:rFonts w:ascii="仿宋" w:eastAsia="仿宋" w:cs="仿宋" w:hint="eastAsia"/>
                <w:b/>
                <w:bCs/>
                <w:color w:val="auto"/>
                <w:sz w:val="24"/>
                <w:szCs w:val="24"/>
              </w:rPr>
              <w:t>需求数量</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b/>
                <w:bCs/>
                <w:color w:val="auto"/>
                <w:sz w:val="24"/>
                <w:szCs w:val="24"/>
              </w:rPr>
            </w:pPr>
            <w:r>
              <w:rPr>
                <w:rFonts w:ascii="仿宋" w:eastAsia="仿宋" w:cs="仿宋" w:hint="eastAsia"/>
                <w:b/>
                <w:bCs/>
                <w:color w:val="auto"/>
                <w:sz w:val="24"/>
                <w:szCs w:val="24"/>
              </w:rPr>
              <w:t>数量单位</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b/>
                <w:bCs/>
                <w:color w:val="auto"/>
                <w:sz w:val="24"/>
                <w:szCs w:val="24"/>
              </w:rPr>
            </w:pPr>
            <w:r>
              <w:rPr>
                <w:rStyle w:val="43"/>
                <w:color w:val="auto"/>
                <w:sz w:val="24"/>
                <w:szCs w:val="24"/>
              </w:rPr>
              <w:t>★</w:t>
            </w:r>
            <w:r>
              <w:rPr>
                <w:rStyle w:val="43"/>
                <w:rFonts w:ascii="仿宋" w:eastAsia="仿宋" w:cs="仿宋"/>
                <w:color w:val="auto"/>
                <w:sz w:val="24"/>
                <w:szCs w:val="24"/>
              </w:rPr>
              <w:t>单价限价</w:t>
            </w:r>
            <w:r>
              <w:rPr>
                <w:rFonts w:ascii="仿宋" w:eastAsia="仿宋" w:cs="仿宋" w:hint="eastAsia"/>
                <w:b/>
                <w:bCs/>
                <w:color w:val="auto"/>
                <w:sz w:val="24"/>
                <w:szCs w:val="24"/>
              </w:rPr>
              <w:t>总价</w:t>
            </w:r>
          </w:p>
          <w:p>
            <w:pPr>
              <w:widowControl/>
              <w:snapToGrid w:val="0"/>
              <w:jc w:val="center"/>
              <w:textAlignment w:val="center"/>
              <w:rPr>
                <w:rFonts w:ascii="仿宋" w:eastAsia="仿宋" w:cs="仿宋"/>
                <w:b/>
                <w:bCs/>
                <w:color w:val="auto"/>
                <w:sz w:val="24"/>
                <w:szCs w:val="24"/>
              </w:rPr>
            </w:pPr>
            <w:r>
              <w:rPr>
                <w:rFonts w:ascii="仿宋" w:eastAsia="仿宋" w:cs="仿宋" w:hint="eastAsia"/>
                <w:b/>
                <w:bCs/>
                <w:color w:val="auto"/>
                <w:sz w:val="24"/>
                <w:szCs w:val="24"/>
              </w:rPr>
              <w:t>（元）</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双口烧瓶</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1000mL，$29/32,$24/29，适配于盛泰二氧化硫蒸馏仪</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80</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9600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SOA600冷凝管</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适配于二氧化硫蒸馏仪SOA600</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1050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6300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双层冷凝管</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适配于盛泰二氧化硫蒸馏仪</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3600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弯接管</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107-1RW/107-1P/107S，</w:t>
            </w:r>
          </w:p>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★适配于盛泰二氧化硫蒸馏仪</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30</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1350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蒸馏管</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耐高温防爆管，500mL，</w:t>
            </w:r>
          </w:p>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★适配于凯氏定氮仪K1160、K1140</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1685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20</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33700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pH电极</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★适配于自动电位滴定仪（品牌：瑞士万通，型号888Titrando）</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4264</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支</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4264</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7</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SOA600气液三通</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★适配于二氧化硫蒸馏仪SOA600</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270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30</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8100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8</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密度仪试管盖</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1000个/盒,</w:t>
            </w:r>
          </w:p>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★适配于密度测定仪（品牌：鲁道夫Rudolph，型号A25-400）</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995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包</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1990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9</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阴离子色谱柱</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1、10μm 4.1*250mm；</w:t>
            </w:r>
          </w:p>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★2、适配于原子荧光形态分析仪（品牌：吉天，型号：SAP-20/AFS-9230）</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5880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5880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原子荧光进样针</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1、5支/盒,</w:t>
            </w:r>
          </w:p>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★2、适配于原子荧光形态分析仪（品牌：吉天，型号：SAP-20/AFS-9230）</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223</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223</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11</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砷空心阴极灯</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★适配于原子荧光形态分析仪（品牌：吉天，型号：SAP-20/AFS-9230）</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750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750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12</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汞空心阴极灯</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★适配于原子荧光形态分析仪（品牌：吉天，型号：SAP-20/AFS-9230）</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750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750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13</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钙镁编码多元素空心阴极灯</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★适配于原子吸收光谱仪（品牌：安捷伦，型号：240FS/240Z）</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4240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4240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14</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钾（K）元素空心阴极灯</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★适配于原子吸收光谱仪（品牌：安捷伦，型号：240FS/240Z）</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3840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3840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15</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铬（Cr）元素空心阴极灯</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★适配于原子吸收光谱仪（品牌：安捷伦，型号：240FS/240Z）</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3555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3555</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16</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钠（Na）元素空心阴极灯</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★适配于原子吸收光谱仪（品牌：安捷伦，型号：240FS/240Z）</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4000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4000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17</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镉（Cd）元素空心阴极灯</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★适配于原子吸收光谱仪（品牌：安捷伦，型号：240FS/240Z）</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3250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3250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18</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铅（Pb)元素空心阴极灯</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★适配于原子吸收光谱仪（品牌：安捷伦，型号：240FS/240Z）</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3629</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3629</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19</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原子吸收进样针</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1、PSD-120的毛细管组件，5根/包。★2、适配于原子吸收光谱仪（品牌：安捷伦，型号：240FS/240Z）</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2625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包</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2625</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20</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原子吸收石墨管</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1、石墨管，涂层-GTA，10个/盒。</w:t>
            </w:r>
          </w:p>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★2、适配于原子吸收光谱仪（品牌：安捷伦，型号：240FS/240Z）</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4251</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4251</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21</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ICP矩管</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★适配于Varian 720-ES电感耦合等离子体发射光谱仪</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5650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5650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22</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RSI自动进样针</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★适配于PE NexION 350X电感耦合等离子体质谱仪。</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9905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9905</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23</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线圈</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★适配于PE NexION 350X电感耦合等离子体质谱仪。</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6702</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6702</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24</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截取锥</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★适配于PE NexION 350X电感耦合等离子体质谱仪。</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5105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5105</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25</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样品锥</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★适配于PE NexION 350X电感耦合等离子体质谱仪。</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6515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6515</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26</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中心管</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★适配于PE NexION 350X电感耦合等离子体质谱仪。</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10110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10110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27</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内标管</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1、0.38mm，12/pk，</w:t>
            </w:r>
          </w:p>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2、★适配于PE NexION 350X电感耦合等离子体质谱仪。</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1385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包</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1385</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28</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ICP-MS 泵油</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1、PFPE Fomblin Fluid LVO 420, 1L Bottle。</w:t>
            </w:r>
          </w:p>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2、★适配于PE NexION 350X电感耦合等离子体质谱仪。</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15780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15780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29</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ICPMS雾化器（石英）</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适配于Agilent 7850电感耦合等离子体质谱仪。</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6829</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6829</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30</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ICPMS雾化器（耐高盐）</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适配于Agilent 7850电感耦合等离子体质谱仪。</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11660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11660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31</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ICPMS采样锥</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★适配于Agilent 7850电感耦合等离子体质谱仪。</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6949</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6949</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32</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ICPMS截取锥</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★适配于Agilent 7850电感耦合等离子体质谱仪。</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4427</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4427</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33</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ICPMS雾化室</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★适配于Agilent 7850电感耦合等离子体质谱仪。</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7026</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7026</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34</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ICPMS中心管</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★适配于Agilent 7850电感耦合等离子体质谱仪。</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1425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1425</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35</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ICPMS进样针</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★适配于Agilent 7850电感耦合等离子体质谱仪。</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2860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2860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36</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ICPMS内标管</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★适配于Agilent 7850电感耦合等离子体质谱仪。</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1530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包</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1530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37</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理化一室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ICPMS样品管</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★适配于Agilent 7850电感耦合等离子体质谱仪。</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880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包</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880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38</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C18</w:t>
            </w:r>
            <w:r>
              <w:rPr>
                <w:rStyle w:val="45"/>
                <w:rFonts w:ascii="仿宋" w:eastAsia="仿宋" w:cs="仿宋"/>
                <w:color w:val="auto"/>
              </w:rPr>
              <w:t>色谱柱</w:t>
            </w:r>
            <w:r>
              <w:rPr>
                <w:rFonts w:ascii="仿宋" w:eastAsia="仿宋" w:cs="仿宋" w:hint="eastAsia"/>
                <w:color w:val="auto"/>
                <w:sz w:val="24"/>
                <w:szCs w:val="24"/>
              </w:rPr>
              <w:t>1</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十八烷基键合的聚合物包被硅胶色谱柱，孔径100Å，比表面积350 m</w:t>
            </w:r>
            <w:r>
              <w:rPr>
                <w:rFonts w:ascii="仿宋" w:eastAsia="仿宋" w:cs="仿宋" w:hint="eastAsia"/>
                <w:color w:val="auto"/>
                <w:sz w:val="24"/>
                <w:szCs w:val="24"/>
                <w:vertAlign w:val="superscript"/>
              </w:rPr>
              <w:t>2</w:t>
            </w:r>
            <w:r>
              <w:rPr>
                <w:rFonts w:ascii="仿宋" w:eastAsia="仿宋" w:cs="仿宋" w:hint="eastAsia"/>
                <w:color w:val="auto"/>
                <w:sz w:val="24"/>
                <w:szCs w:val="24"/>
              </w:rPr>
              <w:t>/g，1.9um，2.1x100mm，耐受pH范围1-10，端基封尾，键合距离优化技术，载炭量13 %，耐受纯水相</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5700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5700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39</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C18</w:t>
            </w:r>
            <w:r>
              <w:rPr>
                <w:rStyle w:val="45"/>
                <w:rFonts w:ascii="仿宋" w:eastAsia="仿宋" w:cs="仿宋"/>
                <w:color w:val="auto"/>
              </w:rPr>
              <w:t>色谱柱</w:t>
            </w:r>
            <w:r>
              <w:rPr>
                <w:rFonts w:ascii="仿宋" w:eastAsia="仿宋" w:cs="仿宋" w:hint="eastAsia"/>
                <w:color w:val="auto"/>
                <w:sz w:val="24"/>
                <w:szCs w:val="24"/>
              </w:rPr>
              <w:t>2</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十八烷基键合的实心核颗粒色谱柱，孔径90Å，比表面积130 m</w:t>
            </w:r>
            <w:r>
              <w:rPr>
                <w:rFonts w:ascii="仿宋" w:eastAsia="仿宋" w:cs="仿宋" w:hint="eastAsia"/>
                <w:color w:val="auto"/>
                <w:sz w:val="24"/>
                <w:szCs w:val="24"/>
                <w:vertAlign w:val="superscript"/>
              </w:rPr>
              <w:t>2</w:t>
            </w:r>
            <w:r>
              <w:rPr>
                <w:rFonts w:ascii="仿宋" w:eastAsia="仿宋" w:cs="仿宋" w:hint="eastAsia"/>
                <w:color w:val="auto"/>
                <w:sz w:val="24"/>
                <w:szCs w:val="24"/>
              </w:rPr>
              <w:t>/g，2.7μm，2.1x100mm，耐受pH范围2-8，端基封尾，载炭量7 %</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6175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6175</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40</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C18</w:t>
            </w:r>
            <w:r>
              <w:rPr>
                <w:rStyle w:val="45"/>
                <w:rFonts w:ascii="仿宋" w:eastAsia="仿宋" w:cs="仿宋"/>
                <w:color w:val="auto"/>
              </w:rPr>
              <w:t>色谱柱</w:t>
            </w:r>
            <w:r>
              <w:rPr>
                <w:rFonts w:ascii="仿宋" w:eastAsia="仿宋" w:cs="仿宋" w:hint="eastAsia"/>
                <w:color w:val="auto"/>
                <w:sz w:val="24"/>
                <w:szCs w:val="24"/>
              </w:rPr>
              <w:t>3</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十八烷基键合的聚合物包被硅胶色谱柱，孔径100Å，比表面积350 m</w:t>
            </w:r>
            <w:r>
              <w:rPr>
                <w:rFonts w:ascii="仿宋" w:eastAsia="仿宋" w:cs="仿宋" w:hint="eastAsia"/>
                <w:color w:val="auto"/>
                <w:sz w:val="24"/>
                <w:szCs w:val="24"/>
                <w:vertAlign w:val="superscript"/>
              </w:rPr>
              <w:t>2</w:t>
            </w:r>
            <w:r>
              <w:rPr>
                <w:rFonts w:ascii="仿宋" w:eastAsia="仿宋" w:cs="仿宋" w:hint="eastAsia"/>
                <w:color w:val="auto"/>
                <w:sz w:val="24"/>
                <w:szCs w:val="24"/>
              </w:rPr>
              <w:t>/g，3um，2.1x150mm，耐受pH范围1-10，端基封尾，载炭量14 %</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4845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4845</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41</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C18</w:t>
            </w:r>
            <w:r>
              <w:rPr>
                <w:rStyle w:val="45"/>
                <w:rFonts w:ascii="仿宋" w:eastAsia="仿宋" w:cs="仿宋"/>
                <w:color w:val="auto"/>
              </w:rPr>
              <w:t>色谱柱</w:t>
            </w:r>
            <w:r>
              <w:rPr>
                <w:rFonts w:ascii="仿宋" w:eastAsia="仿宋" w:cs="仿宋" w:hint="eastAsia"/>
                <w:color w:val="auto"/>
                <w:sz w:val="24"/>
                <w:szCs w:val="24"/>
              </w:rPr>
              <w:t>4</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十八烷基键合的有机杂化硅胶色谱柱，三键键合方式，孔径120Å，比表面积340 m</w:t>
            </w:r>
            <w:r>
              <w:rPr>
                <w:rFonts w:ascii="仿宋" w:eastAsia="仿宋" w:cs="仿宋" w:hint="eastAsia"/>
                <w:color w:val="auto"/>
                <w:sz w:val="24"/>
                <w:szCs w:val="24"/>
                <w:vertAlign w:val="superscript"/>
              </w:rPr>
              <w:t>2</w:t>
            </w:r>
            <w:r>
              <w:rPr>
                <w:rFonts w:ascii="仿宋" w:eastAsia="仿宋" w:cs="仿宋" w:hint="eastAsia"/>
                <w:color w:val="auto"/>
                <w:sz w:val="24"/>
                <w:szCs w:val="24"/>
              </w:rPr>
              <w:t>/g，5um，4.6x250mm，耐受pH范围1-12，端基封尾，载炭量19.5%，耐受纯水相</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6175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6175</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42</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MS</w:t>
            </w:r>
            <w:r>
              <w:rPr>
                <w:rStyle w:val="45"/>
                <w:rFonts w:ascii="仿宋" w:eastAsia="仿宋" w:cs="仿宋"/>
                <w:color w:val="auto"/>
              </w:rPr>
              <w:t>色谱柱</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弱极性，超高惰性柱，聚亚芳基，1,4-二(二甲基)苯基甲基聚硅氧烷，7英寸柱架，-60 ℃≤耐温≤350 ℃。30m× 0.25 mm，0.25µm</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6175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6175</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43</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C18</w:t>
            </w:r>
            <w:r>
              <w:rPr>
                <w:rStyle w:val="45"/>
                <w:rFonts w:ascii="仿宋" w:eastAsia="仿宋" w:cs="仿宋"/>
                <w:color w:val="auto"/>
              </w:rPr>
              <w:t>色谱柱</w:t>
            </w:r>
            <w:r>
              <w:rPr>
                <w:rFonts w:ascii="仿宋" w:eastAsia="仿宋" w:cs="仿宋" w:hint="eastAsia"/>
                <w:color w:val="auto"/>
                <w:sz w:val="24"/>
                <w:szCs w:val="24"/>
              </w:rPr>
              <w:t>5</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十八烷基键合硅胶色谱柱，孔径100Å，比表面积450 m</w:t>
            </w:r>
            <w:r>
              <w:rPr>
                <w:rFonts w:ascii="仿宋" w:eastAsia="仿宋" w:cs="仿宋" w:hint="eastAsia"/>
                <w:color w:val="auto"/>
                <w:sz w:val="24"/>
                <w:szCs w:val="24"/>
                <w:vertAlign w:val="superscript"/>
              </w:rPr>
              <w:t>2</w:t>
            </w:r>
            <w:r>
              <w:rPr>
                <w:rFonts w:ascii="仿宋" w:eastAsia="仿宋" w:cs="仿宋" w:hint="eastAsia"/>
                <w:color w:val="auto"/>
                <w:sz w:val="24"/>
                <w:szCs w:val="24"/>
              </w:rPr>
              <w:t>/g，5um，4.6x150mm，耐受pH范围2-8，端基封尾，载炭量17%</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3325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6650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44</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NH2</w:t>
            </w:r>
            <w:r>
              <w:rPr>
                <w:rStyle w:val="45"/>
                <w:rFonts w:ascii="仿宋" w:eastAsia="仿宋" w:cs="仿宋"/>
                <w:color w:val="auto"/>
              </w:rPr>
              <w:t>色谱柱</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氨基键合硅胶色谱柱，孔径120Å，比表面积300 m</w:t>
            </w:r>
            <w:r>
              <w:rPr>
                <w:rFonts w:ascii="仿宋" w:eastAsia="仿宋" w:cs="仿宋" w:hint="eastAsia"/>
                <w:color w:val="auto"/>
                <w:sz w:val="24"/>
                <w:szCs w:val="24"/>
                <w:vertAlign w:val="superscript"/>
              </w:rPr>
              <w:t>2</w:t>
            </w:r>
            <w:r>
              <w:rPr>
                <w:rFonts w:ascii="仿宋" w:eastAsia="仿宋" w:cs="仿宋" w:hint="eastAsia"/>
                <w:color w:val="auto"/>
                <w:sz w:val="24"/>
                <w:szCs w:val="24"/>
              </w:rPr>
              <w:t>/g，5um，4.6x250mm，耐受pH范围2-8，载炭量4 %</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3325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6650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45</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SCX</w:t>
            </w:r>
            <w:r>
              <w:rPr>
                <w:rStyle w:val="45"/>
                <w:rFonts w:ascii="仿宋" w:eastAsia="仿宋" w:cs="仿宋"/>
                <w:color w:val="auto"/>
              </w:rPr>
              <w:t>色谱柱</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磺酸基键合，孔径300Å，比表面积100 m</w:t>
            </w:r>
            <w:r>
              <w:rPr>
                <w:rFonts w:ascii="仿宋" w:eastAsia="仿宋" w:cs="仿宋" w:hint="eastAsia"/>
                <w:color w:val="auto"/>
                <w:sz w:val="24"/>
                <w:szCs w:val="24"/>
                <w:vertAlign w:val="superscript"/>
              </w:rPr>
              <w:t>2</w:t>
            </w:r>
            <w:r>
              <w:rPr>
                <w:rFonts w:ascii="仿宋" w:eastAsia="仿宋" w:cs="仿宋" w:hint="eastAsia"/>
                <w:color w:val="auto"/>
                <w:sz w:val="24"/>
                <w:szCs w:val="24"/>
              </w:rPr>
              <w:t>/g，5um，3.0x50mm，耐受pH范围2-8</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3610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3610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46</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五氟苯基色谱柱</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 xml:space="preserve">2.6 µm F5 100 Å  100 x 2.1 mm 液相柱 </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7125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7125</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47</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C18 色谱柱</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1、十八烷基硅烷键合亚乙基桥杂化颗粒色谱柱、 耐受性强，对于中-高pH、高浓度盐、流动相含有三乙 胺、高柱温等条件，提供更长柱寿命、液相方法开发优选柱，允许筛选宽泛pH条件、对于碱性分析物，使用高pH条件能够获得更好的保留、 分离和载量</w:t>
              <w:br/>
              <w:t>2、规格：比表面积185，碳载量18%，柱管和筛板添加高性能表面硬件技术显著减少了不必要的分析物/表面相互作用，粒径1.7um，内径2.1mm,长度150mm，带一个一体式保护柱芯</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9975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9975</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48</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BEH 色谱柱</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1、酰胺基键合亚乙基桥杂化颗粒色谱柱,设计用于亲水作用色谱保留与分离强极性 分析物，与硅胶氨基柱和硅胶酰胺基柱相比，柱寿命大大增强，糖、糖醇、高极性有机酸、肽、糖肽等分析物HILIC模式</w:t>
              <w:br/>
              <w:t xml:space="preserve">优选柱，对于复杂组分样品，提供与C18正交选择性:如中药/ </w:t>
              <w:br/>
              <w:t>天然产物提取物、肽等，键合相稳定抗流失，兼容MS、ELSD与荧光检测器，pH范围:2-11 ，温度上限:90˚C</w:t>
              <w:br/>
              <w:t>2、规格：比表面积185，碳载量12%，柱管和筛板添加高性能表面硬件技术显著减少了不必要的分析物/表面相互作用，粒径1.7um，内径2.1mm,长度150mm，带一个一体式保护柱芯</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9975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9975</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49</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BDS C18分析柱</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250x4.6mm 5um BDS C18</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6175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6175</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50</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阴离子分析柱1</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★阴离子分析柱,4X250MM，适配ICS6000离子色谱仪</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19000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19000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51</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阴离子保护柱1</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★阴离子保护柱,4X50MM，适配ICS6000离子色谱仪</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6650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6650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52</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阴离子分析柱2</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★阴离子分析柱,4X250MM，适配ICS6000离子色谱仪</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19000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19000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53</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阴离子保护柱2</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★阴离子保护柱,4X50MM，适配ICS6000离子色谱仪</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6650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6650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54</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DB-1701色谱柱</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 xml:space="preserve">1.气相色谱柱，中等极性，-20 °C耐温≤280/300 °C，30 m, 0.25 mm, 0.25 µm，7 英寸柱架. </w:t>
              <w:br/>
              <w:t>★2.适配安捷伦6890、7890、8860 和 8890 气相色谱仪</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6837</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6837</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55</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C18色谱柱6</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C18,孔径200Å ,允许误差范围±5 Å, 4.6 x 150 mm, 5 µm，封端，耐温≥60 °C，载碳量≥12.9 %，耐压400Bar，★适配安捷伦液相色谱仪1260，1100，1200</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5082</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5082</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56</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DB-5MS 色谱柱</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 xml:space="preserve">1.气相色谱柱，弱极性，-60 °C≤耐温≤325/350 °C，30 m, 0.25 mm, 0.25 µm，7 英寸柱架. </w:t>
              <w:br/>
              <w:t>★2.适配安捷伦6890、7890、8860 和 8890 气相色谱仪</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7428</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7428</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57</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DB-1 色谱柱</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 xml:space="preserve">1.气相色谱柱，弱极性，-60 °C≤耐温≤325/350 °C，30 m, 0.25 mm, 0.25 µm，7 英寸柱架. </w:t>
              <w:br/>
              <w:t>★2.适配安捷伦6890、7890、8860 和 8890 气相色谱仪</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6584</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6584</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58</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XDB-C18 色谱柱</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C18，孔径 80Å，允许误差范围±5 Å,4.6 x 250 mm, 5 µm,双封端，耐温≥60 °C，载碳量≥10 %，耐压400 bar，适配安捷伦液相色谱仪1260，1100，1200</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6614</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6614</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59</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EC-C18色谱柱</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C18，孔径120 Å，允许误差范围±5 Å,4.6 x 100 mm, 2.7 µm. 耐温≥ 60 °C，载碳量≥10 %，耐压600Bar，适配安捷伦液相色谱仪1260，1100，1200</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7533</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7533</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60</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C8色谱柱</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色谱柱C18  孔径 95Å，允许误差范围±5 Å，4.6 × 250 mm, 5 μm,耐压≥400 bar,耐温≥60 °C，双封端，载碳量≥9%，适配安捷伦液相色谱仪1260，1100，1200</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6688</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6688</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61</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SB-C18色谱柱</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色谱柱C18孔径80 Å，允许误差范围±5 Å， 4.6x250mm，5um,耐压≥ 400 bar,耐温≥90 °C，未封端，载炭量≥10 %，适配安捷伦液相色谱仪1260，1100，1200</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6614</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6614</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62</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300-SCX色谱柱</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色谱柱阳离子交换柱孔300 Å，允许误差范围±5 Å， 4.6x150mm，5um,耐压≥ 350 bar,耐温≥80 °C，适配安捷伦液相色谱仪1260，1100，1200</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5397</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5397</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63</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PFP 色谱柱</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色谱柱PFP 孔径120 Å，允许误差范围±5 Å， 2.1 x 100 mm, 2.7 µm,耐压≥ 600 bar,耐温≥60 °C，封端，载炭量≥5.1 %，适配安捷伦液相色谱仪1260，1100，1200</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7533</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7533</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64</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LC GP-C30色谱柱</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色谱柱C30  孔径120 Å，允许误差范围±5 Å， 4.6x250mm，3um,耐压≥ 400 bar,耐温≥60 °C，适配安捷伦液相色谱仪1260，1100，1200</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6903</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6903</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65</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PAH 色谱柱</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色谱柱PAH， 孔径95 Å，允许误差范围±5 Å， 2.1 x 100 mm, 1.8 µm,耐压≥ 600 bar,耐温≥60 °C，伟封端，载炭量≥14 %，适配安捷伦液相色谱仪1260，1100，1200</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7140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7140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66</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DB-WAXETR色谱柱</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 xml:space="preserve">1.气相色谱柱，强极性，30 °C≤耐温≤40/260 °C，60 m, 0.53 mm, 1.0 µm，7 英寸柱架. </w:t>
              <w:br/>
              <w:t>2.适配安捷伦6890、7890、8860 和 8890 气相色谱仪</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13045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13045</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67</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HP-5色谱柱</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 xml:space="preserve">1.气相色谱柱，弱极性，-60 °C≤耐温≤25/350 °C，30 m, 0.25 mm, 0.25 µm，7 英寸柱架。 </w:t>
              <w:br/>
              <w:t>2.适配安捷伦6890、7890、8860 和 8890 气相色谱仪</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6584</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6584</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68</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氘灯 1</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氘灯，带 RFID，用于 DAD/MWD,适用于安捷伦液相色谱仪 G7115A，G1315C/D模块，1260，1200，1100</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12785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12785</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69</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快速连接接头组件</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快速连接接头组件，带预先固定的 0.12 x 105 mm 毛细管，快速连接接头，带预先固定的不锈钢毛细管和  接头</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4022</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套</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8044</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70</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PTFE滤芯</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★PTFE 滤芯，5/包. 用于 1290 Infinity 二元泵和所有 1260 Infinity/1200 系列/1100 系列分析泵</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532</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包</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1596</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71</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转子密封垫</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★用于安捷伦液相设备 G1329B、G1367C、G1367D、G1367E模块</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6512</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13024</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72</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柱塞杆密封圈</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★用于安捷伦液相色谱仪1100/1200</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1745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包</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3490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73</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60CM不锈钢毛细管</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不锈钢毛细管，0.17 x 600 mm</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525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1575</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74</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在线过滤器组件</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★在线过滤器组件，用于安捷伦液相色谱仪柱前. 包括 5 个滤盘（内径 4.6 mm，孔径 0.5 µm）</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6435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12870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75</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9CM不锈钢毛细管</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★不锈钢毛细管，0.17 x 90 mm，适用于安捷伦液相色谱仪1100/1200/1260</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868</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1736</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76</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入口阀阀芯</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 xml:space="preserve">★主动入口阀阀芯，400 bar  适用于安捷伦仪器 </w:t>
              <w:br/>
              <w:t>G1310A/G1311A/G1311C/G1312A/G1312C/G1376A/G2226A</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3240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6480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77</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进样针 1</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ALS 进样针，10 µL，固定式针头，23-26s/42/锥形针尖，6/包.金标 23-26S 锥形针头微量进样针。</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3927</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7854</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78</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分流平板 1</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★分流/不分流进样口密封垫，10/pk，适配于安捷伦气相色谱仪</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4940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4940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79</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石墨压环0.4（适用于0.1-0.25mm）</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★密封垫圈，内径 0.4 mm，石墨，适用于 0.05 mm 至 0.25 mm 色谱柱，10/包. 适用于高达 450 °C 的柱温箱温度，适配于安捷伦气相色谱仪</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503</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1006</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80</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石墨压环0.5（适用于0.32mm）</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★石墨密封垫圈，短型，内径 0.5 mm，适用于 0.32 mm 色谱柱，10/包，适配于安捷伦气相色谱仪</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740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1480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81</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石墨压环0.8（适用于0.45-0.53mm）</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★密封垫圈，内径 0.8 mm，石墨，适用于 0.45 mm 至 0.53 mm 色谱柱，10/包. 适用于高达 450 °C 的 GC 柱温箱温度。适配于安捷伦气相色谱仪</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503</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1006</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82</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衬管1</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★单锥，分流，体积870 µL，内径4mm，外径6.25mm，长度78.5 mm鹅颈衬管中的玻璃毛位于中部,适配于安捷伦气相色谱仪</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518</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2590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83</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液相密封圈 1</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★PLUNGER SEAL,BACKUP RING GFP / 密封圈，适用于LC-40BX3、40BXR</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950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5700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84</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液相密封圈 2</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★机械密封圈PLUNGER SEAL,BACKUP RING UHP，用于LC-30AD输液单元</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1624</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6496</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85</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不锈钢管路</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不★锈钢管路SUS-PIPE ID0.3X700，用于LC-30AD，从LC-30AD的在线过滤器上连接到混合器的接头及管路</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2708</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5416</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86</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氘灯 2</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★二极管阵列检测器，PDA,DAD用氘灯，适配于岛津二极管阵列检测器LC-2040C</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5719</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5719</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87</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进样针 2</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★进样针，10uL适用AOC-20i,S-0.63,固定针头</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687</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1374</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88</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衬管2</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分流衬管，惰性化处理,内附石英棉，5个/包，用于岛津GCMS-QP2020/ 2020NX</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1425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1425</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89</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石墨压环0.5</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★石墨垫0.5，0.10-0.32mm内径毛细柱用，10个/包，用于岛津GC-2030AF/AT/AFT</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627</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1254</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90</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石墨压环0.8</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★石墨垫0.8，0.45-0.53mm内径毛细柱用，10个/包，用于岛津GC-2010</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627</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627</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91</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岛津顶空进样针</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Inert Coating Needle id0.6 / 进样针</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5795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11590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92</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柱塞密封圈</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★计量泵柱塞密封垫，用于岛津SIL-20A(C)XR</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1022</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8</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8176</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93</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DL管</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★DL组件，用于岛津LCMS-8060</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7525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15050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94</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流量阀</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★流量阀，用于岛津LC-30AD输液单元</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1846</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3692</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95</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喷针</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★ESI喷针，用于岛津LCMS-8040</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930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1860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96</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入口单向阀 1</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★入口单向阀CV,IN-UHP，用于岛津LC-30AD输液单元</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2594</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5188</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97</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出口单向阀 1</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★出口单向阀CheckValve,OUT-UHP-F，用于岛津LC-30AD输液单元</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2388</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4776</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98</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吸滤头 1</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★吸滤头ELEMENT, SUS FILTER，用于岛津LC-10ADvp</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552</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5520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99</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APCI喷针</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★APCI PIPE ASSY(2020)，用于岛津LCMS-2020 APCI离子源</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789</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789</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100</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离子色谱氢氧化钾淋洗液罐</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最大浓度0.1 至 100 mM，流速0.01-3.00 mL/min.适用于（设备）Integrion、ICS-5000+、ICS-6000 HPIC 系统，压力最大值：34.5 MPa (5000 psi)</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37335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37335</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101</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浅棕色隔垫</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适配岛津4ml气相进样瓶，浅棕色硅胶隔垫/棕色PTFE，50个/包</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412</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1648</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102</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胶圈</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★O型圈O-RING,4D P5X5用于岛津GC-2010</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68</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袋</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340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103</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灯丝</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★灯丝FILAMENT D ASSY，用于岛津GCMS-TQ8030/TQ8040</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2090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8360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104</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不分流称管</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★衬管，5个/包，不分流，硅烷化处理，内含石英棉，用于岛津GC-2030AF/AT/AFT</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1805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15</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27075</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105</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绿色隔垫</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★进样垫，绿色，低流失，耐受350度，25个/包，用于岛津GC-2010</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1349</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6745</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106</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石墨垫</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★石墨压环(0.25mm用)10个/包,用于岛津GCMS-TQ8030 /TQ8040</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568</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2840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107</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橡胶接头</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 xml:space="preserve">★橡胶接头，1/16，适配waters ACQUITY UPLC </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484</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包</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484</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108</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预加热器</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★预加热器，适配waters ACQUITY UPLC H-Class</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14140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14140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109</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镀金压缩螺丝</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★压缩螺杆, 10-32, SS，10/pk，适配waters ACQUITY UPLC</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2646</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包</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2646</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110</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金属接头套装</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★插芯套装 | 1/16英寸 ID | 两件式，适配waters UPC2, HPLC, UPLC</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922</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包</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922</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111</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不锈钢管线</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★油管组件，喷油器 to CM-A Switch在g 阀门, High Pressure，适配ACQUITY Arc, ACQUITY UPLC H-Class, UPLC Detectors, APC,</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2033</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4066</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112</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样品环 50μL</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★定量环SAMPLE LOOP ASSY 5O,用于岛津SIL-30AC自动进样器</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3381</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6762</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113</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高压阀转子 30A</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★高压阀转子 Rotor, 2 position 6 port，用于SIL-30AC自动进样器</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4750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9500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114</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高压阀定子 30A</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★高压阀定子HIGH-PRESSURE VALVE STATOR 30A，用于岛津SIL-30AC自动进样器</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18460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36920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115</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针管密封圈 30A (标准）</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针密封NEEDLE SEAL 30A，用于岛津SIL-30AC自动进样器</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1423</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2846</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116</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氮气捕集肼</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大容量通过捕集阱，1/8英寸，250psig，氮气</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3705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11115</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117</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氢气捕集阱</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大容量通过捕集阱，1/8英寸，250psig，氢气</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3705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7410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118</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分流平板 2</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密封垫，带垫圈的超高惰性分流平板，10个/包</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3800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3800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119</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内部捕集阱</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分流出口可更换捕集阱芯，2个/包</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1710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5130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120</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气体过滤器套件</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★3 Filters Kit - 1/8" SS for FID，适配岛津气相色谱仪GC-2030</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4655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9310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121</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转子</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★Rotor HPV SIL 30,Rotor, 2 position 6 port，适配岛津液相SIL-30AC</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5795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5795</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122</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密封针</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★NEEDLE SEAL 30A，用于SIL-30AC自动进样器</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1048</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2096</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123</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高压阀定子</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 xml:space="preserve">★SIL-30AC 专用 替换标准: 20,000 次进样，HIGH-PRESSURE VALVE STATOR 30A </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12465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12465</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124</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弹簧 1</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★SPRING SHIMDZ COMPRESSION UF6-4，适配岛津液相SIL-30AC</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38</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114</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125</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弹簧 2</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★2 Nut SPr，适配岛津液相SIL-30AC</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92</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276</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126</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质谱调谐液</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★适配于AB4500</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9170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9170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127</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废液过滤器 1</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★SP-0007A(6个月建议更换）</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283</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3396</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128</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废液过滤器 2</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★SP-0007B(12个月建议更换）</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369</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4428</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129</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不锈钢连接管</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★SUS PIPE ID 0.1X60，使用CTO-20A系列时与色谱柱的连接配管，</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2183</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4366</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130</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接头</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 xml:space="preserve">1个装，UHPLC FITTING 2 S / UHPLC </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623</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2492</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131</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气体过滤器</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SHC-B1011-S8，Shimadzu 1 Triple for He(GC-MS) Filter Kit - 1/8" SS</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1695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10170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132</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出口单向阀 2</w:t>
            </w:r>
          </w:p>
        </w:tc>
        <w:tc>
          <w:tcPr>
            <w:tcW w:w="41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★用于LC-30AD输液单元</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2328</w:t>
            </w: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4656</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133</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机械密封圈 1</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★用于LC-30AD输液单元（低压）</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1625</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6500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134</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吸滤头 2</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★用于LC-30AD输液单元</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552</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1104</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135</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PEEK针座密封垫</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★用于SIL-30AC自动进样器</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1764</w:t>
            </w: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3528</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136</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入口单向阀 2</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★用于LC-40DXS</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2330</w:t>
            </w: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4660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137</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出口单向阀 3</w:t>
            </w:r>
          </w:p>
        </w:tc>
        <w:tc>
          <w:tcPr>
            <w:tcW w:w="41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★用于LC-40DXS</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2330</w:t>
            </w: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4660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138</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机械密封圈 2</w:t>
            </w:r>
          </w:p>
        </w:tc>
        <w:tc>
          <w:tcPr>
            <w:tcW w:w="41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★用于LC-40DXS（高压）</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1625</w:t>
            </w: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3250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139</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18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进样针座密封垫</w:t>
            </w:r>
          </w:p>
        </w:tc>
        <w:tc>
          <w:tcPr>
            <w:tcW w:w="41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★40CXS</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870</w:t>
            </w: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1740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140</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泸州分部</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气相色谱柱</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w:t>
            </w:r>
            <w:r>
              <w:rPr>
                <w:rStyle w:val="46"/>
                <w:rFonts w:ascii="仿宋" w:eastAsia="仿宋" w:cs="仿宋"/>
                <w:color w:val="auto"/>
              </w:rPr>
              <w:t>HP-5MS UI毛细管柱</w:t>
            </w:r>
            <w:r>
              <w:rPr>
                <w:rFonts w:ascii="仿宋" w:eastAsia="仿宋" w:cs="仿宋" w:hint="eastAsia"/>
                <w:color w:val="auto"/>
                <w:sz w:val="24"/>
                <w:szCs w:val="24"/>
              </w:rPr>
              <w:t xml:space="preserve">, </w:t>
            </w:r>
            <w:r>
              <w:rPr>
                <w:rStyle w:val="46"/>
                <w:rFonts w:ascii="仿宋" w:eastAsia="仿宋" w:cs="仿宋"/>
                <w:color w:val="auto"/>
              </w:rPr>
              <w:t xml:space="preserve">柱长30 </w:t>
            </w:r>
            <w:r>
              <w:rPr>
                <w:rFonts w:ascii="仿宋" w:eastAsia="仿宋" w:cs="仿宋" w:hint="eastAsia"/>
                <w:color w:val="auto"/>
                <w:sz w:val="24"/>
                <w:szCs w:val="24"/>
              </w:rPr>
              <w:t xml:space="preserve">m, </w:t>
            </w:r>
            <w:r>
              <w:rPr>
                <w:rStyle w:val="46"/>
                <w:rFonts w:ascii="仿宋" w:eastAsia="仿宋" w:cs="仿宋"/>
                <w:color w:val="auto"/>
              </w:rPr>
              <w:t>内径</w:t>
            </w:r>
            <w:r>
              <w:rPr>
                <w:rFonts w:ascii="仿宋" w:eastAsia="仿宋" w:cs="仿宋" w:hint="eastAsia"/>
                <w:color w:val="auto"/>
                <w:sz w:val="24"/>
                <w:szCs w:val="24"/>
              </w:rPr>
              <w:t xml:space="preserve">0.25 mm, </w:t>
            </w:r>
            <w:r>
              <w:rPr>
                <w:rStyle w:val="46"/>
                <w:rFonts w:ascii="仿宋" w:eastAsia="仿宋" w:cs="仿宋"/>
                <w:color w:val="auto"/>
              </w:rPr>
              <w:t>膜厚</w:t>
            </w:r>
            <w:r>
              <w:rPr>
                <w:rFonts w:ascii="仿宋" w:eastAsia="仿宋" w:cs="仿宋" w:hint="eastAsia"/>
                <w:color w:val="auto"/>
                <w:sz w:val="24"/>
                <w:szCs w:val="24"/>
              </w:rPr>
              <w:t>0.25 μm,</w:t>
            </w:r>
            <w:r>
              <w:rPr>
                <w:rStyle w:val="46"/>
                <w:rFonts w:ascii="仿宋" w:eastAsia="仿宋" w:cs="仿宋"/>
                <w:color w:val="auto"/>
              </w:rPr>
              <w:t>，适用于</w:t>
            </w:r>
            <w:r>
              <w:rPr>
                <w:rFonts w:ascii="仿宋" w:eastAsia="仿宋" w:cs="仿宋" w:hint="eastAsia"/>
                <w:color w:val="auto"/>
                <w:sz w:val="24"/>
                <w:szCs w:val="24"/>
              </w:rPr>
              <w:t xml:space="preserve">Agilent </w:t>
            </w:r>
            <w:r>
              <w:rPr>
                <w:rStyle w:val="46"/>
                <w:rFonts w:ascii="仿宋" w:eastAsia="仿宋" w:cs="仿宋"/>
                <w:color w:val="auto"/>
              </w:rPr>
              <w:t>气相色谱质谱联用仪</w:t>
            </w:r>
            <w:r>
              <w:rPr>
                <w:rFonts w:ascii="仿宋" w:eastAsia="仿宋" w:cs="仿宋" w:hint="eastAsia"/>
                <w:color w:val="auto"/>
                <w:sz w:val="24"/>
                <w:szCs w:val="24"/>
              </w:rPr>
              <w:t>7890A-5975C</w:t>
            </w:r>
            <w:r>
              <w:rPr>
                <w:rStyle w:val="45"/>
                <w:rFonts w:ascii="仿宋" w:eastAsia="仿宋" w:cs="仿宋"/>
                <w:color w:val="auto"/>
              </w:rPr>
              <w:t>，</w:t>
            </w:r>
            <w:r>
              <w:rPr>
                <w:rStyle w:val="47"/>
                <w:rFonts w:ascii="仿宋" w:eastAsia="仿宋" w:cs="仿宋"/>
                <w:color w:val="auto"/>
              </w:rPr>
              <w:t>部件号：</w:t>
            </w:r>
            <w:r>
              <w:rPr>
                <w:rStyle w:val="48"/>
                <w:rFonts w:ascii="仿宋" w:eastAsia="仿宋" w:cs="仿宋"/>
                <w:color w:val="auto"/>
              </w:rPr>
              <w:t>19091S-433UI。</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8000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8000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141</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泸州分部</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点火线圈</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46"/>
                <w:rFonts w:ascii="仿宋" w:eastAsia="仿宋" w:cs="仿宋"/>
                <w:color w:val="auto"/>
              </w:rPr>
              <w:t>适配安捷伦气相色谱仪7890B，</w:t>
            </w:r>
            <w:r>
              <w:rPr>
                <w:rStyle w:val="48"/>
                <w:rFonts w:ascii="仿宋" w:eastAsia="仿宋" w:cs="仿宋"/>
                <w:color w:val="auto"/>
              </w:rPr>
              <w:t>部件号：19231-60680</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1026</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根</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1026</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142</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泸州分部</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超惰性不分流衬管</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47"/>
                <w:rFonts w:ascii="仿宋" w:eastAsia="仿宋" w:cs="仿宋"/>
                <w:color w:val="auto"/>
              </w:rPr>
              <w:t>部件号：5190-2293，</w:t>
            </w:r>
            <w:r>
              <w:rPr>
                <w:rStyle w:val="45"/>
                <w:rFonts w:ascii="仿宋" w:eastAsia="仿宋" w:cs="仿宋"/>
                <w:color w:val="auto"/>
              </w:rPr>
              <w:t>适配于安捷伦气相色谱仪7890B。</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607</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支</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607</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143</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泸州分部</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石墨垫（短）</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47"/>
                <w:rFonts w:ascii="仿宋" w:eastAsia="仿宋" w:cs="仿宋"/>
                <w:color w:val="auto"/>
              </w:rPr>
              <w:t>货号：5181-3323，</w:t>
            </w:r>
            <w:r>
              <w:rPr>
                <w:rStyle w:val="45"/>
                <w:rFonts w:ascii="仿宋" w:eastAsia="仿宋" w:cs="仿宋"/>
                <w:color w:val="auto"/>
              </w:rPr>
              <w:t>适配安捷伦气相色谱仪7890B</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956</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包</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956</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144</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泸州分部</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纯水机过滤柱1</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▲适配密理博纯水机，参考货号：PR0G000T3，或等效柱</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4999</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支</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4999</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145</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泸州分部</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纯水机过滤柱</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▲适配密理博纯水机，参考货号：QPAK00TEX，或等效柱</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5130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支</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5130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146</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德阳分部</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氨基或氨丙基反相液相色谱柱1</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Ultimate XB-NH2，250mm*4.6mm，5um</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3500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支</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3500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147</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德阳分部</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氨基或氨丙基反相液相色谱柱</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 xml:space="preserve">Shim-pack GIST NH2,4.6x250mm，5um </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3500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支</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7000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148</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德阳分部</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进样针</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适配北京吉天原子荧光分光光度计AFS-930d，5支/盒</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200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200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149</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德阳分部</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样品管</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适配北京吉天原子荧光分光光度计AFS-930d160位进样盘，500支/袋,10mL</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600</w:t>
            </w:r>
          </w:p>
        </w:tc>
      </w:tr>
      <w:tr>
        <w:tc>
          <w:tcPr>
            <w:tcW w:w="58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150</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德阳分部</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ICP 矩管</w:t>
            </w:r>
          </w:p>
        </w:tc>
        <w:tc>
          <w:tcPr>
            <w:tcW w:w="416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适配等离子发射光谱仪（利曼PRODIGY XP）</w:t>
            </w:r>
          </w:p>
        </w:tc>
        <w:tc>
          <w:tcPr>
            <w:tcW w:w="101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15000</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43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个</w:t>
            </w:r>
          </w:p>
        </w:tc>
        <w:tc>
          <w:tcPr>
            <w:tcW w:w="117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15000</w:t>
            </w:r>
          </w:p>
        </w:tc>
      </w:tr>
    </w:tbl>
    <w:p>
      <w:pPr>
        <w:jc w:val="center"/>
        <w:rPr>
          <w:rFonts w:ascii="仿宋" w:eastAsia="仿宋" w:cs="仿宋"/>
          <w:b/>
          <w:bCs/>
          <w:color w:val="auto"/>
          <w:sz w:val="28"/>
          <w:szCs w:val="28"/>
        </w:rPr>
      </w:pPr>
      <w:r>
        <w:rPr>
          <w:rFonts w:ascii="仿宋" w:eastAsia="仿宋" w:cs="仿宋" w:hint="eastAsia"/>
          <w:b/>
          <w:bCs/>
          <w:color w:val="auto"/>
          <w:sz w:val="28"/>
          <w:szCs w:val="28"/>
        </w:rPr>
        <w:t>第三包：净化类专用耗材</w:t>
      </w:r>
    </w:p>
    <w:tbl>
      <w:tblPr>
        <w:jc w:val="center"/>
        <w:tblW w:w="4995" w:type="pct"/>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456"/>
        <w:gridCol w:w="1078"/>
        <w:gridCol w:w="1618"/>
        <w:gridCol w:w="2524"/>
        <w:gridCol w:w="950"/>
        <w:gridCol w:w="481"/>
        <w:gridCol w:w="456"/>
        <w:gridCol w:w="950"/>
      </w:tblGrid>
      <w:tr>
        <w:trPr>
          <w:tblHeader/>
        </w:trP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b/>
                <w:bCs/>
                <w:color w:val="auto"/>
                <w:sz w:val="24"/>
                <w:szCs w:val="24"/>
              </w:rPr>
            </w:pPr>
            <w:r>
              <w:rPr>
                <w:rFonts w:ascii="仿宋" w:eastAsia="仿宋" w:cs="仿宋" w:hint="eastAsia"/>
                <w:b/>
                <w:bCs/>
                <w:color w:val="auto"/>
                <w:sz w:val="24"/>
                <w:szCs w:val="24"/>
              </w:rPr>
              <w:t>序号</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b/>
                <w:bCs/>
                <w:color w:val="auto"/>
                <w:sz w:val="24"/>
                <w:szCs w:val="24"/>
              </w:rPr>
            </w:pPr>
            <w:r>
              <w:rPr>
                <w:rFonts w:ascii="仿宋" w:eastAsia="仿宋" w:cs="仿宋" w:hint="eastAsia"/>
                <w:b/>
                <w:bCs/>
                <w:color w:val="auto"/>
                <w:sz w:val="24"/>
                <w:szCs w:val="24"/>
              </w:rPr>
              <w:t>需求部门</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b/>
                <w:bCs/>
                <w:color w:val="auto"/>
                <w:sz w:val="24"/>
                <w:szCs w:val="24"/>
              </w:rPr>
            </w:pPr>
            <w:r>
              <w:rPr>
                <w:rFonts w:ascii="仿宋" w:eastAsia="仿宋" w:cs="仿宋" w:hint="eastAsia"/>
                <w:b/>
                <w:bCs/>
                <w:color w:val="auto"/>
                <w:sz w:val="24"/>
                <w:szCs w:val="24"/>
              </w:rPr>
              <w:t>品名（标的名称）</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b/>
                <w:bCs/>
                <w:color w:val="auto"/>
                <w:sz w:val="24"/>
                <w:szCs w:val="24"/>
              </w:rPr>
            </w:pPr>
            <w:r>
              <w:rPr>
                <w:rFonts w:ascii="仿宋" w:eastAsia="仿宋" w:cs="仿宋" w:hint="eastAsia"/>
                <w:b/>
                <w:bCs/>
                <w:color w:val="auto"/>
                <w:sz w:val="24"/>
                <w:szCs w:val="24"/>
              </w:rPr>
              <w:t>规格型号及技术要求</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b/>
                <w:bCs/>
                <w:color w:val="auto"/>
                <w:sz w:val="24"/>
                <w:szCs w:val="24"/>
              </w:rPr>
            </w:pPr>
            <w:r>
              <w:rPr>
                <w:rStyle w:val="49"/>
                <w:rFonts w:ascii="仿宋" w:eastAsia="仿宋" w:cs="仿宋"/>
                <w:color w:val="auto"/>
                <w:sz w:val="24"/>
                <w:szCs w:val="24"/>
              </w:rPr>
              <w:t>★限价</w:t>
            </w:r>
            <w:r>
              <w:rPr>
                <w:rFonts w:ascii="仿宋" w:eastAsia="仿宋" w:cs="仿宋" w:hint="eastAsia"/>
                <w:b/>
                <w:bCs/>
                <w:color w:val="auto"/>
                <w:sz w:val="24"/>
                <w:szCs w:val="24"/>
              </w:rPr>
              <w:t>单价</w:t>
            </w:r>
          </w:p>
          <w:p>
            <w:pPr>
              <w:widowControl/>
              <w:snapToGrid w:val="0"/>
              <w:jc w:val="center"/>
              <w:textAlignment w:val="center"/>
              <w:rPr>
                <w:rFonts w:ascii="仿宋" w:eastAsia="仿宋" w:cs="仿宋"/>
                <w:b/>
                <w:bCs/>
                <w:color w:val="auto"/>
                <w:sz w:val="24"/>
                <w:szCs w:val="24"/>
              </w:rPr>
            </w:pPr>
            <w:r>
              <w:rPr>
                <w:rFonts w:ascii="仿宋" w:eastAsia="仿宋" w:cs="仿宋" w:hint="eastAsia"/>
                <w:b/>
                <w:bCs/>
                <w:color w:val="auto"/>
                <w:sz w:val="24"/>
                <w:szCs w:val="24"/>
              </w:rPr>
              <w:t>（元）</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b/>
                <w:bCs/>
                <w:color w:val="auto"/>
                <w:sz w:val="24"/>
                <w:szCs w:val="24"/>
              </w:rPr>
            </w:pPr>
            <w:r>
              <w:rPr>
                <w:rFonts w:ascii="仿宋" w:eastAsia="仿宋" w:cs="仿宋" w:hint="eastAsia"/>
                <w:b/>
                <w:bCs/>
                <w:color w:val="auto"/>
                <w:sz w:val="24"/>
                <w:szCs w:val="24"/>
              </w:rPr>
              <w:t>预估需求数量</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b/>
                <w:bCs/>
                <w:color w:val="auto"/>
                <w:sz w:val="24"/>
                <w:szCs w:val="24"/>
              </w:rPr>
            </w:pPr>
            <w:r>
              <w:rPr>
                <w:rFonts w:ascii="仿宋" w:eastAsia="仿宋" w:cs="仿宋" w:hint="eastAsia"/>
                <w:b/>
                <w:bCs/>
                <w:color w:val="auto"/>
                <w:sz w:val="24"/>
                <w:szCs w:val="24"/>
              </w:rPr>
              <w:t>数量单位</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b/>
                <w:bCs/>
                <w:color w:val="auto"/>
                <w:sz w:val="24"/>
                <w:szCs w:val="24"/>
              </w:rPr>
            </w:pPr>
            <w:r>
              <w:rPr>
                <w:rStyle w:val="49"/>
                <w:rFonts w:ascii="仿宋" w:eastAsia="仿宋" w:cs="仿宋"/>
                <w:color w:val="auto"/>
                <w:sz w:val="24"/>
                <w:szCs w:val="24"/>
              </w:rPr>
              <w:t>★单价限价</w:t>
            </w:r>
            <w:r>
              <w:rPr>
                <w:rFonts w:ascii="仿宋" w:eastAsia="仿宋" w:cs="仿宋" w:hint="eastAsia"/>
                <w:b/>
                <w:bCs/>
                <w:color w:val="auto"/>
                <w:sz w:val="24"/>
                <w:szCs w:val="24"/>
              </w:rPr>
              <w:t>总价</w:t>
            </w:r>
          </w:p>
          <w:p>
            <w:pPr>
              <w:widowControl/>
              <w:snapToGrid w:val="0"/>
              <w:jc w:val="center"/>
              <w:textAlignment w:val="center"/>
              <w:rPr>
                <w:rFonts w:ascii="仿宋" w:eastAsia="仿宋" w:cs="仿宋"/>
                <w:b/>
                <w:bCs/>
                <w:color w:val="auto"/>
                <w:sz w:val="24"/>
                <w:szCs w:val="24"/>
              </w:rPr>
            </w:pPr>
            <w:r>
              <w:rPr>
                <w:rFonts w:ascii="仿宋" w:eastAsia="仿宋" w:cs="仿宋" w:hint="eastAsia"/>
                <w:b/>
                <w:bCs/>
                <w:color w:val="auto"/>
                <w:sz w:val="24"/>
                <w:szCs w:val="24"/>
              </w:rPr>
              <w:t>（元）</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高效除脂专用柱</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硅锆类嵌入骨架结构的无机高效增强除脂材料，对脂类有特异性吸附，兽残渔用麻醉剂、全氟、孔雀石绿等含脂样品检测用。 600 mg, 6 mL,30个/盒</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2125</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10625</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Elut-ENV小柱(聚乙烯二乙烯苯柱）</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固相萃取小柱，填料：聚苯乙烯-二乙烯基苯聚合物，500 mg，6 mL，30/包</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1976</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19760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MCX固相萃取小柱 3</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填料为键合磺酸基团的聚苯乙烯- 二乙烯基苯共聚物，粒径50 μm，孔径80 Å，比表面积800 m2/g ，作用基团：磺酸基团，苯基，乙烯基，吡咯烷酮，500mg/12mL，20支/盒</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1749</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17490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NH2氨基固相萃取柱6ml</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NH2氨基固相萃取柱 500mg，6ml，30支/盒</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247</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1235</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SPE小柱</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ENVI-Carb SPE小柱  500mg，6ml，30支/盒</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548</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15</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8220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C18固相萃取柱 1</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C18固相萃取柱 2g，12ml，20/pk</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722</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3610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7</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Alumina N中性氧化铝固相萃取柱</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中性氧化铝固相萃取柱 1g，3ml，50/pk</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618</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3090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8</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C18固相萃取柱 2</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C18固相萃取柱1g，3ml，50/pk</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1064</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3192</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9</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C18固相萃取柱 3</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C18固相萃取柱 500mg，3ml，50/pk</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684</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2052</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NH2氨基固相萃取柱3ml</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NH2氨基固相萃取柱 200mg，3ml，50/pk</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437</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2185</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11</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硅藻土小柱</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硅藻土小柱填料适用于5009.191 5000mg/30mL; 10/pkg</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295</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2950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12</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混合型强阴离子交换固相萃取柱</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混合型强阴离子交换固相萃取柱 500mg/6mL; 30/pkg</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1767</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8</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14136</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13</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强阴离子交换固相萃取柱</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强阴离子交换固相萃取柱 500mg，3ml，50/pk</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1026</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3078</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14</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MAX固相萃取柱</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 xml:space="preserve">MAX固相萃取柱 60mg 3ml 50/pk </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827</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4135</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15</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C18固相萃取柱 4</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C18固相萃取柱  500mg，6ml，30/pk</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399</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1995</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16</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ENVI-18柱</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ENVI™-18 SPE 小柱</w:t>
              <w:br/>
              <w:t>2g/12mL, 20支/盒</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1343</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13430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17</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NH2固相萃取柱</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NH2 3cc /500mg Sorbent per Cartridge, 55 - 105 µm, 50/pk</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1440</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14400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18</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石墨化碳黑固相萃取柱</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snapToGrid w:val="0"/>
              <w:jc w:val="left"/>
              <w:rPr>
                <w:rFonts w:ascii="仿宋" w:eastAsia="仿宋" w:cs="仿宋"/>
                <w:color w:val="auto"/>
                <w:sz w:val="24"/>
                <w:szCs w:val="24"/>
              </w:rPr>
            </w:pPr>
            <w:r>
              <w:rPr>
                <w:rFonts w:ascii="仿宋" w:eastAsia="仿宋" w:cs="仿宋" w:hint="eastAsia"/>
                <w:color w:val="auto"/>
                <w:sz w:val="24"/>
                <w:szCs w:val="24"/>
              </w:rPr>
              <w:t xml:space="preserve">石墨化碳黑固相萃取小柱 250mg,3mL  </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855</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8550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19</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强阳离子交换萃取柱</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硅胶基质，苯磺酸官能团，500mg，6mL 30支/盒</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741</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7410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20</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季铵盐强阴离子/乙二胺-N-丙基硅烷基化硅胶固相萃取柱</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季铵盐强阴离子/乙二胺-N-丙基硅烷基化硅胶 250mg/250mg/3mL; 50/pkg</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1387</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6935</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21</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WAX固相萃取柱</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WAX弱阴离子交换 SPE 小柱 150mg，6mL   30支/盒</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411</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15</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6165</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22</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MCX固相萃取小柱 1</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MCX SPE 小柱（粒径100μm）混合型强阳离子交换 60mg,3mL  50支/盒</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515</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2575</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23</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中性氧化铝固相萃取柱</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 xml:space="preserve">Alumina-N中性氧化铝 SPE 小柱 500mg,6mL 盒  30支/盒 </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285</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2850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24</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聚苯乙烯吡咯烷酮聚合物填料固相萃取柱</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聚苯乙烯吡咯烷酮聚合物填料固相萃取柱500mg/6mL  30支/盒</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1216</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12160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25</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C18固相萃取柱 5</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C18 SPE 小柱 2g，10mL 20支/盒</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578</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2890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26</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苯并芘小柱</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苯并(a)芘专用 SPE 小柱 500mg,6mL   30支/盒</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753</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30</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22590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27</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GCB 石墨化碳黑小柱</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Carbon-GCB 石墨化碳黑 SPE 小柱 250mg,3mL   50支/盒</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931</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4655</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28</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PCX固相萃取小柱</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Style w:val="50"/>
                <w:rFonts w:ascii="仿宋" w:eastAsia="仿宋" w:cs="仿宋"/>
                <w:color w:val="auto"/>
                <w:sz w:val="24"/>
                <w:szCs w:val="24"/>
              </w:rPr>
              <w:t>MCX SPE 小柱（粒径40μm）混合型强阳离子交换 150mg,6mL  30支/盒   对应pcx</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710</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3550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29</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silica固相萃取小柱</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Si硅胶 SPE 小柱 500mg,3mL 盒  50支/盒</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276</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1380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30</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WCX固相萃取小柱</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WCX弱阳离子交换 SPE 小柱 200mg,3mL   50支/盒</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620</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3100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31</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MCX固相萃取小柱 2</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MCX SPE 小柱（粒径100μm）混合型强阳离子交换 500mg,3mL  50支/盒</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1140</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5700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32</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HLB 固相萃取柱1</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1、填料：亲水-亲脂平衡的水可浸润性聚合物的反相吸附剂，填料由两种单体按特定比例制成，提供了优异的容量和中性极性钩。</w:t>
              <w:br/>
              <w:t>2、使用：无需活化和平衡</w:t>
              <w:br/>
              <w:t>3、适用情形:需要针对强极性化合物的超高载量，与基于硅胶的吸附剂相比，极性代谢物如羟基阿特拉津的回收率更高。检测限始终为 100 ng/L 或更低，兼容PH0-14的溶剂</w:t>
              <w:br/>
              <w:t>4、规格：孔径 80 Å，粒径60um, 6 cc 真空柱, 每个柱含 500 mg 吸附剂。每盒30支</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3500</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21000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33</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HLB 固相萃取柱2</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1、填料：亲水-亲脂平衡的水可浸润性聚合物的反相吸附剂，填料由两种单体按特定比例制成，提供了优异的容量和中性极性钩。</w:t>
              <w:br/>
              <w:t>使用：无需活化和平衡</w:t>
              <w:br/>
              <w:t>2、适用情形:需要针对强极性化合物的超高载量，与基于硅胶的吸附剂相比，极性代谢物如羟基阿特拉津的回收率更高。检测限始终为 100 ng/L 或更低，兼容PH0-14的溶剂</w:t>
              <w:br/>
              <w:t>4、规格：孔径 80 Å，粒径30um, 6 cc 真空柱, 每个柱含200 mg 吸附剂。每盒30支</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2450</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14700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34</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阳离子交换固相萃取柱</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1、填料：正相硅胶-极性表面，用于从非极性溶剂中吸附分析物</w:t>
              <w:br/>
              <w:t>2、使用6-10个柱体积的非极性溶剂平衡小柱</w:t>
              <w:br/>
              <w:t>3、主要用于从非极性溶剂(如碳氢化合物、氯或氟取代的碳氢化合物或较不极性的酯和醚)中吸附分析物。分析物的保留可通过氢键作用、偶极-偶极相互作用或在水样中通过阳离子交换来实现，适用PH1-8的溶剂。</w:t>
              <w:br/>
              <w:t>4、规格：孔径125Å，3 cc 真空滤芯, 每盒500毫克的吸附剂，粒径55-105微米，50/包，可容纳样品体积1.2ml</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1289</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6445</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35</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Alumina B Cartridges固相萃取柱</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填料：碱性氧化铝填料，是活性极高的氧化铝，具有碱性表面化学性质。氧化铝表面为极性表面，有助于保留分析物，这种常规相吸附剂的使用方法与二氧化硅类似;但在高pH条件下，它比未官能化二氧化硅略稳定一些。这种碱性氧化铝在水介质中也是低容量离子交换剂。</w:t>
              <w:br/>
              <w:t>2、使用6-10个柱体积的非极性溶剂平衡小柱</w:t>
              <w:br/>
              <w:t>3、可用于提取磷脂、甾体和儿茶酚胺。该填料不会受到高能放射性的影响，可用于分离放射性化合物。</w:t>
              <w:br/>
              <w:t>4、规格：孔径120Å，3 cc 真空滤芯, 每盒500毫克的吸附剂，粒径55-105微米，50/包,可容纳样品体积0.4ml</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1515</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3030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36</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HLB 固相萃取柱3</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1、填料：亲水-亲脂平衡的水可浸润性聚合物的反相吸附剂，填料由两种单体按特定比例制成，提供了优异的容量和中性极性钩。</w:t>
              <w:br/>
              <w:t>2、使用：无需活化和平衡</w:t>
              <w:br/>
              <w:t>3、适用情形:需要针对强极性化合物的超高载量，与基于硅胶的吸附剂相比，极性代谢物如羟基阿特拉津的回收率更高。检测限始终为 100 ng/L 或更低，兼容PH1-12的溶剂，可浓缩分析物</w:t>
              <w:br/>
              <w:t>4、规格：3 cc 真空柱, 每个柱含 150 mg 吸附剂。每盒100支</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4306</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4306</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37</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HLB 固相萃取柱4</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1、填料：亲水-亲脂平衡的水可浸润性聚合物的反相吸附剂，填料由两种单体按特定比例制成，提供了优异的容量和中性极性钩。</w:t>
              <w:br/>
              <w:t>2、使用：无需活化和平衡</w:t>
              <w:br/>
              <w:t>3、适用情形:需要针对强极性化合物的超高载量，与基于硅胶的吸附剂相比，极性代谢物如羟基阿特拉津的回收率更高。检测限始终为 100 ng/L 或更低，兼容PH0-14的溶剂</w:t>
              <w:br/>
              <w:t>4、规格：孔径 80 Å，粒径30um, 3 cc 真空柱, 每个柱含 60 mg 吸附剂。每盒100支</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3886</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19430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38</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QuEChERS萃取盐（果蔬提取盐包）</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lang w:eastAsia="zh-CN"/>
              </w:rPr>
              <w:t>★符合：GB23200.121-2026，</w:t>
            </w:r>
            <w:r>
              <w:rPr>
                <w:rFonts w:ascii="仿宋" w:eastAsia="仿宋" w:cs="仿宋" w:hint="eastAsia"/>
                <w:color w:val="auto"/>
                <w:sz w:val="24"/>
                <w:szCs w:val="24"/>
              </w:rPr>
              <w:t>4g硫酸镁，1g氯化钠，1g柠檬酸钠，0.5g柠檬酸氢二钠，咖啡袋形式；50支/包</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152</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200</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包</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30400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39</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QuEChERS萃取盐（谷物油料坚果茶叶香辛料提取盐包）</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lang w:eastAsia="zh-CN"/>
              </w:rPr>
              <w:t>★符合：GB23200.121-2026，</w:t>
            </w:r>
            <w:r>
              <w:rPr>
                <w:rFonts w:ascii="仿宋" w:eastAsia="仿宋" w:cs="仿宋" w:hint="eastAsia"/>
                <w:color w:val="auto"/>
                <w:sz w:val="24"/>
                <w:szCs w:val="24"/>
              </w:rPr>
              <w:t>6g硫酸镁，1.5g醋酸钠，咖啡袋形式；50支/包</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143</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60</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包</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8580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40</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QuEChERS净化管（浅色素果蔬）</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lang w:eastAsia="zh-CN"/>
              </w:rPr>
              <w:t>★符合：GB23200.121-2026，</w:t>
            </w:r>
            <w:r>
              <w:rPr>
                <w:rFonts w:ascii="仿宋" w:eastAsia="仿宋" w:cs="仿宋" w:hint="eastAsia"/>
                <w:color w:val="auto"/>
                <w:sz w:val="24"/>
                <w:szCs w:val="24"/>
              </w:rPr>
              <w:t>900mg硫酸镁，150mgPSA，15ml净化管；50支/包</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162</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130</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shd w:val="clear" w:color="auto" w:fill="auto"/>
              </w:rPr>
              <w:t>袋</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21060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41</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QuEChERS净化管（深色果蔬）</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lang w:eastAsia="zh-CN"/>
              </w:rPr>
              <w:t>★符合：GB23200.121-2026，</w:t>
            </w:r>
            <w:r>
              <w:rPr>
                <w:rFonts w:ascii="仿宋" w:eastAsia="仿宋" w:cs="仿宋" w:hint="eastAsia"/>
                <w:color w:val="auto"/>
                <w:sz w:val="24"/>
                <w:szCs w:val="24"/>
              </w:rPr>
              <w:t>885mg硫酸镁，150mgPSA，15mgGCB，15ml净化管；50支/包</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171</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50</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包</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8550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42</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QuEChERS净化管（谷物油料坚果）</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lang w:eastAsia="zh-CN"/>
              </w:rPr>
              <w:t>★符合：GB23200.121-2026，</w:t>
            </w:r>
            <w:r>
              <w:rPr>
                <w:rFonts w:ascii="仿宋" w:eastAsia="仿宋" w:cs="仿宋" w:hint="eastAsia"/>
                <w:color w:val="auto"/>
                <w:sz w:val="24"/>
                <w:szCs w:val="24"/>
              </w:rPr>
              <w:t>1200mg硫酸镁，400mgPSA，400mgC18，15ml净化管；50支/包</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304</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30</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包</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9120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43</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QuEChERS净化管（茶叶香辛料）</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lang w:eastAsia="zh-CN"/>
              </w:rPr>
              <w:t>★符合：GB23200.121-2026，</w:t>
            </w:r>
            <w:r>
              <w:rPr>
                <w:rFonts w:ascii="仿宋" w:eastAsia="仿宋" w:cs="仿宋" w:hint="eastAsia"/>
                <w:color w:val="auto"/>
                <w:sz w:val="24"/>
                <w:szCs w:val="24"/>
              </w:rPr>
              <w:t>1200mg硫酸镁，400mgPSA，400mgC18，200mgGCB，15ml净化管；50支/包</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418</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30</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包</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12540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44</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化矿实验室</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固相萃取苯并芘专用柱</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 xml:space="preserve">500mg/6mL, 30/Pk   </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204</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408</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45</w:t>
            </w:r>
          </w:p>
        </w:tc>
        <w:tc>
          <w:tcPr>
            <w:tcW w:w="67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泸州分部</w:t>
            </w:r>
          </w:p>
        </w:tc>
        <w:tc>
          <w:tcPr>
            <w:tcW w:w="101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氨基甲酸乙酯专用SPE小柱</w:t>
            </w:r>
          </w:p>
        </w:tc>
        <w:tc>
          <w:tcPr>
            <w:tcW w:w="157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▲4000 mg， 12mL/20 pcs</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709</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50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709</w:t>
            </w:r>
          </w:p>
        </w:tc>
      </w:tr>
    </w:tbl>
    <w:p>
      <w:pPr>
        <w:jc w:val="center"/>
        <w:rPr>
          <w:rFonts w:ascii="仿宋" w:eastAsia="仿宋" w:cs="仿宋"/>
          <w:b/>
          <w:bCs/>
          <w:color w:val="auto"/>
          <w:sz w:val="28"/>
          <w:szCs w:val="28"/>
        </w:rPr>
      </w:pPr>
      <w:r>
        <w:rPr>
          <w:rFonts w:ascii="仿宋" w:eastAsia="仿宋" w:cs="仿宋" w:hint="eastAsia"/>
          <w:b/>
          <w:bCs/>
          <w:color w:val="auto"/>
          <w:sz w:val="28"/>
          <w:szCs w:val="28"/>
        </w:rPr>
        <w:t>第四包：毒素类试剂耗材</w:t>
      </w:r>
    </w:p>
    <w:tbl>
      <w:tblPr>
        <w:jc w:val="center"/>
        <w:tblW w:w="4992" w:type="pct"/>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456"/>
        <w:gridCol w:w="651"/>
        <w:gridCol w:w="1606"/>
        <w:gridCol w:w="2570"/>
        <w:gridCol w:w="950"/>
        <w:gridCol w:w="671"/>
        <w:gridCol w:w="576"/>
        <w:gridCol w:w="1028"/>
      </w:tblGrid>
      <w:tr>
        <w:trPr>
          <w:tblHeader/>
        </w:trP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b/>
                <w:bCs/>
                <w:color w:val="auto"/>
                <w:sz w:val="24"/>
                <w:szCs w:val="24"/>
              </w:rPr>
            </w:pPr>
            <w:r>
              <w:rPr>
                <w:rFonts w:ascii="仿宋" w:eastAsia="仿宋" w:cs="仿宋" w:hint="eastAsia"/>
                <w:b/>
                <w:bCs/>
                <w:color w:val="auto"/>
                <w:sz w:val="24"/>
                <w:szCs w:val="24"/>
              </w:rPr>
              <w:t>序号</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b/>
                <w:bCs/>
                <w:color w:val="auto"/>
                <w:sz w:val="24"/>
                <w:szCs w:val="24"/>
              </w:rPr>
            </w:pPr>
            <w:r>
              <w:rPr>
                <w:rFonts w:ascii="仿宋" w:eastAsia="仿宋" w:cs="仿宋" w:hint="eastAsia"/>
                <w:b/>
                <w:bCs/>
                <w:color w:val="auto"/>
                <w:sz w:val="24"/>
                <w:szCs w:val="24"/>
              </w:rPr>
              <w:t>需求部门</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b/>
                <w:bCs/>
                <w:color w:val="auto"/>
                <w:sz w:val="24"/>
                <w:szCs w:val="24"/>
              </w:rPr>
            </w:pPr>
            <w:r>
              <w:rPr>
                <w:rFonts w:ascii="仿宋" w:eastAsia="仿宋" w:cs="仿宋" w:hint="eastAsia"/>
                <w:b/>
                <w:bCs/>
                <w:color w:val="auto"/>
                <w:sz w:val="24"/>
                <w:szCs w:val="24"/>
              </w:rPr>
              <w:t>品名（标的名称）</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b/>
                <w:bCs/>
                <w:color w:val="auto"/>
                <w:sz w:val="24"/>
                <w:szCs w:val="24"/>
              </w:rPr>
            </w:pPr>
            <w:r>
              <w:rPr>
                <w:rFonts w:ascii="仿宋" w:eastAsia="仿宋" w:cs="仿宋" w:hint="eastAsia"/>
                <w:b/>
                <w:bCs/>
                <w:color w:val="auto"/>
                <w:sz w:val="24"/>
                <w:szCs w:val="24"/>
              </w:rPr>
              <w:t>规格型号及技术要求</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b/>
                <w:bCs/>
                <w:color w:val="auto"/>
                <w:sz w:val="24"/>
                <w:szCs w:val="24"/>
              </w:rPr>
            </w:pPr>
            <w:r>
              <w:rPr>
                <w:rFonts w:cs="宋体" w:hint="eastAsia"/>
                <w:b/>
                <w:bCs/>
                <w:color w:val="auto"/>
                <w:sz w:val="24"/>
                <w:szCs w:val="24"/>
              </w:rPr>
              <w:t>★</w:t>
            </w:r>
            <w:r>
              <w:rPr>
                <w:rFonts w:ascii="仿宋" w:eastAsia="仿宋" w:cs="仿宋" w:hint="eastAsia"/>
                <w:b/>
                <w:bCs/>
                <w:color w:val="auto"/>
                <w:sz w:val="24"/>
                <w:szCs w:val="24"/>
              </w:rPr>
              <w:t>限价单价</w:t>
            </w:r>
          </w:p>
          <w:p>
            <w:pPr>
              <w:widowControl/>
              <w:snapToGrid w:val="0"/>
              <w:jc w:val="center"/>
              <w:textAlignment w:val="center"/>
              <w:rPr>
                <w:rFonts w:ascii="仿宋" w:eastAsia="仿宋" w:cs="仿宋"/>
                <w:b/>
                <w:bCs/>
                <w:color w:val="auto"/>
                <w:sz w:val="24"/>
                <w:szCs w:val="24"/>
              </w:rPr>
            </w:pPr>
            <w:r>
              <w:rPr>
                <w:rFonts w:ascii="仿宋" w:eastAsia="仿宋" w:cs="仿宋" w:hint="eastAsia"/>
                <w:b/>
                <w:bCs/>
                <w:color w:val="auto"/>
                <w:sz w:val="24"/>
                <w:szCs w:val="24"/>
              </w:rPr>
              <w:t>（元）</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b/>
                <w:bCs/>
                <w:color w:val="auto"/>
                <w:sz w:val="24"/>
                <w:szCs w:val="24"/>
              </w:rPr>
            </w:pPr>
            <w:r>
              <w:rPr>
                <w:rFonts w:ascii="仿宋" w:eastAsia="仿宋" w:cs="仿宋" w:hint="eastAsia"/>
                <w:b/>
                <w:bCs/>
                <w:color w:val="auto"/>
                <w:sz w:val="24"/>
                <w:szCs w:val="24"/>
              </w:rPr>
              <w:t>预估需求数量</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b/>
                <w:bCs/>
                <w:color w:val="auto"/>
                <w:sz w:val="24"/>
                <w:szCs w:val="24"/>
              </w:rPr>
            </w:pPr>
            <w:r>
              <w:rPr>
                <w:rFonts w:ascii="仿宋" w:eastAsia="仿宋" w:cs="仿宋" w:hint="eastAsia"/>
                <w:b/>
                <w:bCs/>
                <w:color w:val="auto"/>
                <w:sz w:val="24"/>
                <w:szCs w:val="24"/>
              </w:rPr>
              <w:t>数量单位</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b/>
                <w:bCs/>
                <w:color w:val="auto"/>
                <w:sz w:val="24"/>
                <w:szCs w:val="24"/>
              </w:rPr>
            </w:pPr>
            <w:r>
              <w:rPr>
                <w:rFonts w:cs="宋体" w:hint="eastAsia"/>
                <w:b/>
                <w:bCs/>
                <w:color w:val="auto"/>
                <w:sz w:val="24"/>
                <w:szCs w:val="24"/>
              </w:rPr>
              <w:t>★</w:t>
            </w:r>
            <w:r>
              <w:rPr>
                <w:rFonts w:ascii="仿宋" w:eastAsia="仿宋" w:cs="仿宋" w:hint="eastAsia"/>
                <w:b/>
                <w:bCs/>
                <w:color w:val="auto"/>
                <w:sz w:val="24"/>
                <w:szCs w:val="24"/>
              </w:rPr>
              <w:t>单价限价总价</w:t>
            </w:r>
          </w:p>
          <w:p>
            <w:pPr>
              <w:widowControl/>
              <w:snapToGrid w:val="0"/>
              <w:jc w:val="center"/>
              <w:textAlignment w:val="center"/>
              <w:rPr>
                <w:rFonts w:ascii="仿宋" w:eastAsia="仿宋" w:cs="仿宋"/>
                <w:b/>
                <w:bCs/>
                <w:color w:val="auto"/>
                <w:sz w:val="24"/>
                <w:szCs w:val="24"/>
              </w:rPr>
            </w:pPr>
            <w:r>
              <w:rPr>
                <w:rFonts w:ascii="仿宋" w:eastAsia="仿宋" w:cs="仿宋" w:hint="eastAsia"/>
                <w:b/>
                <w:bCs/>
                <w:color w:val="auto"/>
                <w:sz w:val="24"/>
                <w:szCs w:val="24"/>
              </w:rPr>
              <w:t>（元）</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脱氧雪腐镰刀菌烯醇免疫亲和柱</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1.亲和柱的柱容量：≥2200 ng；适用于豆瓣酱、胡椒粉等复杂基质的净化，净化后无杂质，回收率≥90%；抗体甲醇耐受≥30%；抗体乙腈耐受≥10%；</w:t>
              <w:br/>
              <w:t>▲2.柱体凝胶高度小于等于5mm（投标人需提供测量图片证明并加盖公章）</w:t>
              <w:br/>
              <w:t>▲3.无本底残留（＜0.03ng）（投标人需提供原始谱图并加盖公章）</w:t>
              <w:br/>
              <w:t>4.保存有效期：2℃-8℃ ≥18个月</w:t>
              <w:br/>
              <w:t>5.可穿透式柱塞，使用便捷，5-10分钟完成过柱。（需提供过柱证明材料）</w:t>
              <w:br/>
              <w:t>6.可兼容自动化前处理设备，实现自动化处理。</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1188</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25</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29700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黄曲霉毒素总量免疫亲和柱(B1+B2+G1+G2)</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1.亲和柱的柱容量：≥800 ng；适用于豆瓣酱、胡椒粉等复杂基质的净化，净化后无杂质，回收率≥90%；抗体甲醇耐受≥40%；抗体乙腈耐受≥20%；</w:t>
              <w:br/>
              <w:t>▲2.柱体凝胶高度小于等于5mm（投标人需提供测量图片证明并加盖公章）</w:t>
              <w:br/>
              <w:t>▲3.无本底残留（＜0.03ng）（投标人需提供原始谱图并加盖公章）</w:t>
              <w:br/>
              <w:t>4.保存有效期：2℃-8℃ ≥18个月</w:t>
              <w:br/>
              <w:t>5.可穿透式柱塞，使用便捷，5-10分钟完成过柱。（需提供过柱证明材料）</w:t>
              <w:br/>
              <w:t>6.可兼容自动化前处理设备，实现自动化处理。</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1188</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11880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黄曲霉毒素B1免疫亲和柱</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1.亲和柱的柱容量：≥400 ng；适用于豆瓣酱、胡椒粉等复杂基质的净化，净化后无杂质，回收率≥90%；抗体甲醇耐受≥40%；抗体乙腈耐受≥20%；</w:t>
              <w:br/>
              <w:t>▲2.柱体凝胶高度小于等于5mm（投标人需提供测量图片证明并加盖公章）</w:t>
              <w:br/>
              <w:t>▲3.无本底残留（＜0.03ng）（投标人需提供原始谱图并加盖公章）</w:t>
              <w:br/>
              <w:t>4.保存有效期：2℃-8℃ ≥18个月</w:t>
              <w:br/>
              <w:t>5.可穿透式柱塞，使用便捷，5-10分钟完成过柱。（需提供过柱证明材料）</w:t>
              <w:br/>
              <w:t>6.可兼容自动化前处理设备，实现自动化处理。</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1188</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45</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53460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黄曲霉毒素M1免疫亲和柱</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1.亲和柱的柱容量：≥200 ng；适用于奶酪等基质的净化，净化后无杂质，回收率≥90%；抗体甲醇耐受≥40%；抗体乙腈耐受≥20%；</w:t>
              <w:br/>
              <w:t>▲2.柱体凝胶高度小于等于5mm（投标人需提供测量图片证明并加盖公章）</w:t>
              <w:br/>
              <w:t>▲3.无本底残留（＜0.03ng）（投标人需提供原始谱图并加盖公章）</w:t>
              <w:br/>
              <w:t>4.保存有效期：2℃-8℃ ≥18个月</w:t>
              <w:br/>
              <w:t>5.可穿透式柱塞，使用便捷，5-10分钟完成过柱。（需提供过柱证明材料）</w:t>
              <w:br/>
              <w:t>6.可兼容自动化前处理设备，实现自动化处理。</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1188</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5940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赭曲霉毒素A免疫亲和柱</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1.亲和柱的柱容量：≥550 ng；适用于辣椒、胡椒粉等复杂基质等的净化，净化后无杂质，回收率≥90%；抗体甲醇耐受≥40%；抗体乙腈耐受≥20%；</w:t>
              <w:br/>
              <w:t>▲2.柱体凝胶高度小于等于5mm（投标人需提供测量图片证明并加盖公章）</w:t>
              <w:br/>
              <w:t>▲3.无本底残留（＜0.03ng）（投标人需提供原始谱图并加盖公章）</w:t>
              <w:br/>
              <w:t>4.保存有效期：2℃-8℃ ≥18个月                  5.可穿透式柱塞，使用便捷，5-10分钟完成过柱。（需提供过柱证明材料）</w:t>
              <w:br/>
              <w:t>6.可兼容自动化前处理设备，实现自动化处理。。</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1188</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30</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35640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玉米赤霉烯酮免疫亲和柱</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1.亲和柱的柱容量：≥2000 ng；适用于豆瓣酱等复杂基质等的净化，净化后无杂质，回收率≥90%；抗体甲醇耐受≥40%；抗体乙腈耐受≥20%；</w:t>
              <w:br/>
              <w:t>▲2.柱体凝胶高度小于等于5mm（投标人需提供测量图片证明并加盖公章）</w:t>
              <w:br/>
              <w:t>▲3.无本底残留（＜0.03ng）（投标人需提供原始谱图并加盖公章）</w:t>
              <w:br/>
              <w:t>4.保存有效期：2℃-8℃ ≥18个月</w:t>
              <w:br/>
              <w:t>5.可穿透式柱塞，使用便捷，5-10分钟完成过柱。（需提供过柱证明材料）</w:t>
              <w:br/>
              <w:t>6.可兼容自动化前处理设备，实现自动化处理。</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1188</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25</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29700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7</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伏马毒素免疫亲和柱（FB1+FB2+FB3)</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1.亲和柱的柱容量：≥5000 ng；适用于油脂等基质的净化，净化后无杂质，回收率≥90%；抗体甲醇耐受≥30%；抗体乙腈耐受≥10%；</w:t>
              <w:br/>
              <w:t>▲2.柱体凝胶高度小于等于5mm（投标人需提供测量图片证明并加盖公章）</w:t>
              <w:br/>
              <w:t>▲3.无本底残留（＜0.03ng）（投标人需提供原始谱图并加盖公章）</w:t>
              <w:br/>
              <w:t>4.保存有效期：2℃-8℃ ≥18个月</w:t>
              <w:br/>
              <w:t>5.可穿透式柱塞，使用便捷，5-10分钟完成过柱。（需提供过柱证明材料）</w:t>
              <w:br/>
              <w:t>6.可兼容自动化前处理设备，实现自动化处理。</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1710</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6840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8</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226净化柱</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25T 8ml</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1710</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6</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10260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9</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228净化柱</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25T 8ml</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1710</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盒</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5130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10</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黄曲霉毒素B1内标</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1μg/mL，大于1mL，有效期一年以上，内标物为黄曲霉毒素B1的稳定同位素标记类似物，其分子中须含有17个¹³C标记原子。</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2090</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8</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16720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11</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黄曲霉毒素B2内标</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1μg/mL，大于1mL，有效期一年以上，内标物为黄曲霉毒素B2的稳定同位素标记类似物，其分子中须含有17个¹³C标记原子。</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1235</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4940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12</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黄曲霉毒素G2内标</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1μg/mL，大于1mL，有效期一年以上，内标物为黄曲霉毒素G2的稳定同位素标记类似物，其分子中须含有17个¹³C标记原子。</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1235</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4940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13</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黄曲霉毒素G1内标</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1μg/mL，大于1mL，有效期一年以上，内标物为黄曲霉毒素G1的稳定同位素标记类似物，其分子中须含有17个¹³C标记原子。</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1235</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4940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14</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赭曲霉毒素A-内标</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10μg/mL，大于1mL，有效期一年以上，内标物为赭曲霉毒素A的稳定同位素标记类似物，其分子中须含有20个¹³C标记原子。</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4275</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12825</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15</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黄曲霉毒素M1内标</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0.5μg/mL，大于1mL，有效期一年以上，内标物为黄曲霉毒素M1的稳定同位素标记类似物，其分子中须含有17个¹³C标记原子。</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2280</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6840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16</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展青霉素-内标</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25μg/mL，大于1mL，有效期一年以上，内标物为展青霉素稳定同位素标记类似物，其分子中须含有7个¹³C标记原子。</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1710</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6840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17</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黄曲霉毒素M1外标</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0.5μg/mL，大于1mL，有效期一年以上，纯度≥99%</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143</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429</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18</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黄曲霉毒素B1外标</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25μg/mL，大于1mL，有效期一年以上，纯度≥99%</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152</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8</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1216</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19</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黄曲霉毒素B2外标</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25μg/mL，大于1mL，有效期一年以上，纯度≥99%</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152</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608</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20</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黄曲霉毒素G2外标</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25μg/mL，大于1mL，有效期一年以上，纯度≥99%</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152</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608</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21</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黄曲霉毒素G1外标</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25μg/mL，大于1mL，有效期一年以上，纯度≥99%</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152</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4</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608</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22</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脱氧雪腐镰刀菌烯醇外标</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1000μg/mL，大于1mL，有效期一年以上，纯度≥99%</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428</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2140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23</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脱氧雪腐镰刀菌烯醇内标</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25μg/mL，大于1mL，有效期一年以上，内标物为脱氧雪腐镰刀菌烯醇稳定同位素标记类似物，其分子中须含有15个¹³C标记原子</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2280</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4560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24</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展青霉素外标</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100μg/mL，大于1mL，有效期一年以上，纯度≥99%</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190</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570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25</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赭曲霉毒素A</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100μg/mL，大于1mL，有效期一年以上，纯度≥99%</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190</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950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26</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玉米赤霉烯酮</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100μg/mL，大于1mL，有效期一年以上，纯度≥99%</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190</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5</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950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27</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T-2毒素</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100μg/mL，大于1mL，有效期一年以上，纯度≥99%</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190</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190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28</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HT-2毒素</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100μg/mL，大于1mL，有效期一年以上，纯度≥99%</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190</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190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29</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 xml:space="preserve">伏马毒素B1 </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100μg/mL，大于1mL，有效期一年以上，纯度≥99%</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190</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570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30</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 xml:space="preserve">伏马毒素B2 </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100μg/mL，大于1mL，有效期一年以上，纯度≥99%</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190</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570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31</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 xml:space="preserve">伏马毒素B3 </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100μg/mL，大于1mL，有效期一年以上，纯度≥99%</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456</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1368</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32</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伏马毒素B1 内标</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25μg/mL，大于1mL，有效期一年以上，内标物为伏马毒素B1稳定同位素标记类似物，其分子中须含有34个¹³C标记原子。</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2375</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7125</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33</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伏马毒素B2 内标</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10μg/mL，大于1mL，有效期一年以上，内标物为伏马毒素B2稳定同位素标记类似物，其分子中须含有34个¹³C标记原子。</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2375</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7125</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34</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伏马毒素B3 内标</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10μg/mL，大于1mL，有效期一年以上，内标物为伏马毒素B3稳定同位素标记类似物，其分子中须含有34个¹³C标记原子。</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2375</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7125</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35</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T2毒素内标</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25μg/mL，大于1mL，有效期一年以上，内标物为T-2毒素稳定同位素标记类似物，其分子中须含有24个¹³C标记原子。</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5700</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2</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瓶</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11400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36</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腾毒素（Tentoxin）内标</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内标物为腾毒素稳定同位素标记类似物，其分子中须含有22个¹³C标记原子，5μg/mL，大于1mL，有效期一年以上</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19000</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snapToGrid w:val="0"/>
              <w:jc w:val="center"/>
              <w:rPr>
                <w:rFonts w:ascii="仿宋" w:eastAsia="仿宋" w:cs="仿宋"/>
                <w:color w:val="auto"/>
                <w:sz w:val="24"/>
                <w:szCs w:val="24"/>
              </w:rPr>
            </w:pP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19000</w:t>
            </w:r>
          </w:p>
        </w:tc>
      </w:tr>
      <w:tr>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37</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理化二室</w:t>
            </w:r>
          </w:p>
        </w:tc>
        <w:tc>
          <w:tcPr>
            <w:tcW w:w="96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腾毒素(Tentoxin)外标</w:t>
            </w:r>
          </w:p>
        </w:tc>
        <w:tc>
          <w:tcPr>
            <w:tcW w:w="15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left"/>
              <w:textAlignment w:val="center"/>
              <w:rPr>
                <w:rFonts w:ascii="仿宋" w:eastAsia="仿宋" w:cs="仿宋"/>
                <w:color w:val="auto"/>
                <w:sz w:val="24"/>
                <w:szCs w:val="24"/>
              </w:rPr>
            </w:pPr>
            <w:r>
              <w:rPr>
                <w:rFonts w:ascii="仿宋" w:eastAsia="仿宋" w:cs="仿宋" w:hint="eastAsia"/>
                <w:color w:val="auto"/>
                <w:sz w:val="24"/>
                <w:szCs w:val="24"/>
              </w:rPr>
              <w:t>100μg/mL，大于1mL，有效期一年以上，纯度≥99%</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190</w:t>
            </w:r>
          </w:p>
        </w:tc>
        <w:tc>
          <w:tcPr>
            <w:tcW w:w="40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center"/>
              <w:textAlignment w:val="center"/>
              <w:rPr>
                <w:rFonts w:ascii="仿宋" w:eastAsia="仿宋" w:cs="仿宋"/>
                <w:color w:val="auto"/>
                <w:sz w:val="24"/>
                <w:szCs w:val="24"/>
              </w:rPr>
            </w:pPr>
            <w:r>
              <w:rPr>
                <w:rFonts w:ascii="仿宋" w:eastAsia="仿宋" w:cs="仿宋" w:hint="eastAsia"/>
                <w:color w:val="auto"/>
                <w:sz w:val="24"/>
                <w:szCs w:val="24"/>
              </w:rPr>
              <w:t>1</w:t>
            </w: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pPr>
              <w:snapToGrid w:val="0"/>
              <w:jc w:val="center"/>
              <w:rPr>
                <w:rFonts w:ascii="仿宋" w:eastAsia="仿宋" w:cs="仿宋"/>
                <w:color w:val="auto"/>
                <w:sz w:val="24"/>
                <w:szCs w:val="24"/>
              </w:rPr>
            </w:pP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jc w:val="right"/>
              <w:textAlignment w:val="center"/>
              <w:rPr>
                <w:rFonts w:ascii="仿宋" w:eastAsia="仿宋" w:cs="仿宋"/>
                <w:color w:val="auto"/>
                <w:sz w:val="24"/>
                <w:szCs w:val="24"/>
              </w:rPr>
            </w:pPr>
            <w:r>
              <w:rPr>
                <w:rFonts w:ascii="仿宋" w:eastAsia="仿宋" w:cs="仿宋" w:hint="eastAsia"/>
                <w:color w:val="auto"/>
                <w:sz w:val="24"/>
                <w:szCs w:val="24"/>
              </w:rPr>
              <w:t>190</w:t>
            </w:r>
          </w:p>
        </w:tc>
      </w:tr>
    </w:tbl>
    <w:p>
      <w:pPr>
        <w:pStyle w:val="4"/>
        <w:spacing w:before="0" w:after="0" w:line="500" w:lineRule="exact"/>
        <w:rPr>
          <w:rFonts w:ascii="仿宋" w:eastAsia="仿宋" w:cs="仿宋"/>
          <w:color w:val="auto"/>
          <w:sz w:val="28"/>
          <w:szCs w:val="28"/>
        </w:rPr>
      </w:pPr>
      <w:r>
        <w:rPr>
          <w:rFonts w:ascii="宋体" w:eastAsia="宋体" w:cs="宋体" w:hint="eastAsia"/>
          <w:bCs/>
          <w:color w:val="auto"/>
          <w:sz w:val="28"/>
          <w:szCs w:val="28"/>
        </w:rPr>
        <w:t>★</w:t>
      </w:r>
      <w:r>
        <w:rPr>
          <w:rFonts w:ascii="仿宋" w:eastAsia="仿宋" w:cs="仿宋" w:hint="eastAsia"/>
          <w:bCs/>
          <w:color w:val="auto"/>
          <w:sz w:val="28"/>
          <w:szCs w:val="28"/>
        </w:rPr>
        <w:t>三</w:t>
      </w:r>
      <w:r>
        <w:rPr>
          <w:rFonts w:ascii="仿宋" w:eastAsia="仿宋" w:cs="仿宋" w:hint="eastAsia"/>
          <w:color w:val="auto"/>
          <w:sz w:val="28"/>
          <w:szCs w:val="28"/>
        </w:rPr>
        <w:t>、服务要求（实质性要求）（第1-4包适用）</w:t>
      </w:r>
    </w:p>
    <w:p>
      <w:pPr>
        <w:tabs>
          <w:tab w:val="left" w:pos="630"/>
        </w:tabs>
        <w:spacing w:line="500" w:lineRule="exact"/>
        <w:ind w:firstLineChars="200" w:firstLine="560"/>
        <w:textAlignment w:val="baseline"/>
        <w:rPr>
          <w:rFonts w:ascii="仿宋" w:eastAsia="仿宋" w:cs="仿宋"/>
          <w:color w:val="auto"/>
          <w:sz w:val="28"/>
          <w:szCs w:val="28"/>
        </w:rPr>
      </w:pPr>
      <w:r>
        <w:rPr>
          <w:rFonts w:ascii="仿宋" w:eastAsia="仿宋" w:cs="仿宋" w:hint="eastAsia"/>
          <w:color w:val="auto"/>
          <w:sz w:val="28"/>
          <w:szCs w:val="28"/>
        </w:rPr>
        <w:t xml:space="preserve">（1）中标人按合同交付货物给采购人时，中标人提供的清单内所有的试剂、耗材须在产品有效期（质保期）内，且所供产品剩余有效期（保质期）原则上不得少于标示有效期（保质期）的三分之二。所投商品出现有质量问题（含破损）时，中标人须在2工作日内响应并在7个工作日内完成更换。因特殊原因无法按时更换的，需在保证采购人工作不受影响的情况下，征得采购人同意，双方协商一致后，按照新的预定时间完成更换。 </w:t>
      </w:r>
    </w:p>
    <w:p>
      <w:pPr>
        <w:tabs>
          <w:tab w:val="left" w:pos="630"/>
        </w:tabs>
        <w:spacing w:line="500" w:lineRule="exact"/>
        <w:ind w:firstLineChars="200" w:firstLine="560"/>
        <w:textAlignment w:val="baseline"/>
        <w:rPr>
          <w:rFonts w:ascii="仿宋" w:eastAsia="仿宋" w:cs="仿宋"/>
          <w:color w:val="auto"/>
          <w:sz w:val="28"/>
          <w:szCs w:val="28"/>
        </w:rPr>
      </w:pPr>
      <w:r>
        <w:rPr>
          <w:rFonts w:ascii="仿宋" w:eastAsia="仿宋" w:cs="仿宋" w:hint="eastAsia"/>
          <w:color w:val="auto"/>
          <w:sz w:val="28"/>
          <w:szCs w:val="28"/>
        </w:rPr>
        <w:t>产品需要更换时，如遇到无故拖延更换（超过7个工作日）或者不予响应（超过14天）时，采购人有权退货，并暂停中标人参与采购人本年度及下一年度此类产品的投标资格。</w:t>
      </w:r>
    </w:p>
    <w:p>
      <w:pPr>
        <w:tabs>
          <w:tab w:val="left" w:pos="630"/>
        </w:tabs>
        <w:spacing w:line="500" w:lineRule="exact"/>
        <w:ind w:firstLineChars="200" w:firstLine="560"/>
        <w:textAlignment w:val="baseline"/>
        <w:rPr>
          <w:rFonts w:ascii="仿宋" w:eastAsia="仿宋" w:cs="仿宋"/>
          <w:color w:val="auto"/>
          <w:sz w:val="28"/>
          <w:szCs w:val="28"/>
        </w:rPr>
      </w:pPr>
      <w:r>
        <w:rPr>
          <w:rFonts w:ascii="仿宋" w:eastAsia="仿宋" w:cs="仿宋" w:hint="eastAsia"/>
          <w:color w:val="auto"/>
          <w:sz w:val="28"/>
          <w:szCs w:val="28"/>
        </w:rPr>
        <w:t>中标产品在其使用全生命周期中，如发现其为假冒产品或进货渠道违反国家相关法律法规的，采购人有权退货，并追究中标人法律责任。</w:t>
      </w:r>
    </w:p>
    <w:p>
      <w:pPr>
        <w:tabs>
          <w:tab w:val="left" w:pos="630"/>
        </w:tabs>
        <w:spacing w:line="500" w:lineRule="exact"/>
        <w:ind w:firstLineChars="200" w:firstLine="560"/>
        <w:textAlignment w:val="baseline"/>
        <w:rPr>
          <w:rFonts w:ascii="仿宋" w:eastAsia="仿宋" w:cs="仿宋"/>
          <w:color w:val="auto"/>
          <w:sz w:val="28"/>
          <w:szCs w:val="28"/>
        </w:rPr>
      </w:pPr>
      <w:r>
        <w:rPr>
          <w:rFonts w:ascii="仿宋" w:eastAsia="仿宋" w:cs="仿宋" w:hint="eastAsia"/>
          <w:color w:val="auto"/>
          <w:sz w:val="28"/>
          <w:szCs w:val="28"/>
        </w:rPr>
        <w:t>（2）中标人对采购人提出的采购需求，需在 24 小时内响应。中标人所供产品出现质量问题后在接到使用单位服务要求后应在1小时之内作出响应。如果使用单位需要，应在48小时之内派出专业技术人员到使用单位现场调查核实实际情况，同时在 48小时内提供同型号、同规格的货物，其中发生一切费用由中标人承担。</w:t>
      </w:r>
    </w:p>
    <w:p>
      <w:pPr>
        <w:tabs>
          <w:tab w:val="left" w:pos="630"/>
        </w:tabs>
        <w:spacing w:line="500" w:lineRule="exact"/>
        <w:ind w:firstLineChars="200" w:firstLine="560"/>
        <w:textAlignment w:val="baseline"/>
        <w:rPr>
          <w:rFonts w:ascii="仿宋" w:eastAsia="仿宋" w:cs="仿宋"/>
          <w:color w:val="auto"/>
          <w:sz w:val="28"/>
          <w:szCs w:val="28"/>
        </w:rPr>
      </w:pPr>
      <w:r>
        <w:rPr>
          <w:rFonts w:ascii="仿宋" w:eastAsia="仿宋" w:cs="仿宋" w:hint="eastAsia"/>
          <w:color w:val="auto"/>
          <w:sz w:val="28"/>
          <w:szCs w:val="28"/>
        </w:rPr>
        <w:t xml:space="preserve">（3）对于需要低温冷藏保存的产品，中标人在运输过程中须采用冷链运输方式。 </w:t>
      </w:r>
    </w:p>
    <w:p>
      <w:pPr>
        <w:tabs>
          <w:tab w:val="left" w:pos="630"/>
        </w:tabs>
        <w:spacing w:line="500" w:lineRule="exact"/>
        <w:ind w:firstLineChars="200" w:firstLine="560"/>
        <w:textAlignment w:val="baseline"/>
        <w:rPr>
          <w:rFonts w:ascii="仿宋" w:eastAsia="仿宋" w:cs="仿宋"/>
          <w:color w:val="auto"/>
          <w:sz w:val="28"/>
          <w:szCs w:val="28"/>
        </w:rPr>
      </w:pPr>
      <w:r>
        <w:rPr>
          <w:rFonts w:ascii="仿宋" w:eastAsia="仿宋" w:cs="仿宋" w:hint="eastAsia"/>
          <w:color w:val="auto"/>
          <w:sz w:val="28"/>
          <w:szCs w:val="28"/>
        </w:rPr>
        <w:t xml:space="preserve">（4）交货验收前的一切费用（包括包装、运输等）、风险（包括损坏、失效等） 均由中标人承担。 </w:t>
      </w:r>
    </w:p>
    <w:p>
      <w:pPr>
        <w:tabs>
          <w:tab w:val="left" w:pos="630"/>
        </w:tabs>
        <w:spacing w:line="500" w:lineRule="exact"/>
        <w:ind w:firstLineChars="200" w:firstLine="560"/>
        <w:textAlignment w:val="baseline"/>
        <w:rPr>
          <w:rFonts w:ascii="仿宋" w:eastAsia="仿宋" w:cs="仿宋"/>
          <w:color w:val="auto"/>
          <w:sz w:val="28"/>
          <w:szCs w:val="28"/>
        </w:rPr>
      </w:pPr>
      <w:r>
        <w:rPr>
          <w:rFonts w:ascii="仿宋" w:eastAsia="仿宋" w:cs="仿宋" w:hint="eastAsia"/>
          <w:color w:val="auto"/>
          <w:sz w:val="28"/>
          <w:szCs w:val="28"/>
        </w:rPr>
        <w:t>（5）中标人应保证所供货物为品牌制造商原厂生产、原包装、全新未使用过的产品。中标人对所供产品的质量负责并保证能正常运行使用，根据采购人需求， 对采购人使用人员提供必要的技术支持及相应的培训。</w:t>
      </w:r>
    </w:p>
    <w:p>
      <w:pPr>
        <w:tabs>
          <w:tab w:val="left" w:pos="630"/>
        </w:tabs>
        <w:spacing w:line="500" w:lineRule="exact"/>
        <w:ind w:firstLineChars="200" w:firstLine="560"/>
        <w:textAlignment w:val="baseline"/>
        <w:rPr>
          <w:rFonts w:ascii="仿宋" w:eastAsia="仿宋" w:cs="仿宋"/>
          <w:color w:val="auto"/>
          <w:sz w:val="28"/>
          <w:szCs w:val="28"/>
        </w:rPr>
      </w:pPr>
      <w:r>
        <w:rPr>
          <w:rFonts w:ascii="仿宋" w:eastAsia="仿宋" w:cs="仿宋" w:hint="eastAsia"/>
          <w:color w:val="auto"/>
          <w:sz w:val="28"/>
          <w:szCs w:val="28"/>
        </w:rPr>
        <w:t xml:space="preserve">（6）中标人所供产品具有合法手续及相关文件。 </w:t>
      </w:r>
    </w:p>
    <w:p>
      <w:pPr>
        <w:tabs>
          <w:tab w:val="left" w:pos="630"/>
        </w:tabs>
        <w:spacing w:line="500" w:lineRule="exact"/>
        <w:ind w:firstLineChars="200" w:firstLine="560"/>
        <w:textAlignment w:val="baseline"/>
        <w:rPr>
          <w:rFonts w:ascii="仿宋" w:eastAsia="仿宋" w:cs="仿宋"/>
          <w:color w:val="auto"/>
          <w:sz w:val="28"/>
          <w:szCs w:val="28"/>
        </w:rPr>
      </w:pPr>
      <w:r>
        <w:rPr>
          <w:rFonts w:ascii="仿宋" w:eastAsia="仿宋" w:cs="仿宋" w:hint="eastAsia"/>
          <w:color w:val="auto"/>
          <w:sz w:val="28"/>
          <w:szCs w:val="28"/>
        </w:rPr>
        <w:t>（7）采购人认为必要时，中标人需提供产品的中文版使用说明书和中文版相关资料。</w:t>
      </w:r>
    </w:p>
    <w:p>
      <w:pPr>
        <w:tabs>
          <w:tab w:val="left" w:pos="630"/>
        </w:tabs>
        <w:spacing w:line="500" w:lineRule="exact"/>
        <w:ind w:firstLineChars="200" w:firstLine="560"/>
        <w:textAlignment w:val="baseline"/>
        <w:rPr>
          <w:rFonts w:ascii="仿宋" w:eastAsia="仿宋" w:cs="仿宋"/>
          <w:color w:val="auto"/>
          <w:sz w:val="28"/>
          <w:szCs w:val="28"/>
        </w:rPr>
      </w:pPr>
      <w:r>
        <w:rPr>
          <w:rFonts w:ascii="仿宋" w:eastAsia="仿宋" w:cs="仿宋" w:hint="eastAsia"/>
          <w:color w:val="auto"/>
          <w:sz w:val="28"/>
          <w:szCs w:val="28"/>
        </w:rPr>
        <w:t>（8）中标人对于所供产品，因中标人原因，经采购人符合性验收或技术性验收不合格的，根据采购人要求，可无条件为采购人更换或退货，中标人承担全部责任并对存在的问题在7天内给予解决。</w:t>
      </w:r>
    </w:p>
    <w:p>
      <w:pPr>
        <w:tabs>
          <w:tab w:val="left" w:pos="630"/>
        </w:tabs>
        <w:spacing w:line="500" w:lineRule="exact"/>
        <w:ind w:firstLineChars="200" w:firstLine="560"/>
        <w:textAlignment w:val="baseline"/>
        <w:rPr>
          <w:rFonts w:ascii="仿宋" w:eastAsia="仿宋" w:cs="仿宋"/>
          <w:color w:val="auto"/>
          <w:sz w:val="28"/>
          <w:szCs w:val="28"/>
        </w:rPr>
      </w:pPr>
      <w:r>
        <w:rPr>
          <w:rFonts w:ascii="仿宋" w:eastAsia="仿宋" w:cs="仿宋" w:hint="eastAsia"/>
          <w:color w:val="auto"/>
          <w:sz w:val="28"/>
          <w:szCs w:val="28"/>
        </w:rPr>
        <w:t xml:space="preserve">（9）中标人对所供产品的使用所需的特殊条件和环境要求等事项事前需向采购人提示、说明。因未提示、说明而造成所供产品不能正常使用，中标人承担责任并给予解决，所产生的费用由中标人承担。 </w:t>
      </w:r>
    </w:p>
    <w:p>
      <w:pPr>
        <w:tabs>
          <w:tab w:val="left" w:pos="630"/>
        </w:tabs>
        <w:spacing w:line="500" w:lineRule="exact"/>
        <w:ind w:firstLineChars="200" w:firstLine="560"/>
        <w:textAlignment w:val="baseline"/>
        <w:rPr>
          <w:rFonts w:ascii="仿宋" w:eastAsia="仿宋" w:cs="仿宋"/>
          <w:color w:val="auto"/>
          <w:sz w:val="28"/>
          <w:szCs w:val="28"/>
        </w:rPr>
      </w:pPr>
      <w:r>
        <w:rPr>
          <w:rFonts w:ascii="仿宋" w:eastAsia="仿宋" w:cs="仿宋" w:hint="eastAsia"/>
          <w:color w:val="auto"/>
          <w:sz w:val="28"/>
          <w:szCs w:val="28"/>
        </w:rPr>
        <w:t xml:space="preserve">（10）中标人需保证所提供产品配套完整，货到即能正常使用，如发生因配套不完整等因素而造成采购人不能正常使用，中标人应及时给予解决，由此产生的一切费用中标人承担。 </w:t>
      </w:r>
    </w:p>
    <w:p>
      <w:pPr>
        <w:tabs>
          <w:tab w:val="left" w:pos="630"/>
        </w:tabs>
        <w:spacing w:line="500" w:lineRule="exact"/>
        <w:ind w:firstLineChars="200" w:firstLine="560"/>
        <w:textAlignment w:val="baseline"/>
        <w:rPr>
          <w:rFonts w:ascii="仿宋" w:eastAsia="仿宋" w:cs="仿宋"/>
          <w:color w:val="auto"/>
          <w:sz w:val="28"/>
          <w:szCs w:val="28"/>
        </w:rPr>
      </w:pPr>
      <w:r>
        <w:rPr>
          <w:rFonts w:ascii="仿宋" w:eastAsia="仿宋" w:cs="仿宋" w:hint="eastAsia"/>
          <w:color w:val="auto"/>
          <w:sz w:val="28"/>
          <w:szCs w:val="28"/>
        </w:rPr>
        <w:t xml:space="preserve">（11）中标人须可提供现场技术培训。 </w:t>
      </w:r>
    </w:p>
    <w:p>
      <w:pPr>
        <w:tabs>
          <w:tab w:val="left" w:pos="630"/>
        </w:tabs>
        <w:spacing w:line="500" w:lineRule="exact"/>
        <w:ind w:firstLineChars="200" w:firstLine="560"/>
        <w:textAlignment w:val="baseline"/>
        <w:rPr>
          <w:rFonts w:ascii="仿宋" w:eastAsia="仿宋" w:cs="仿宋"/>
          <w:color w:val="auto"/>
          <w:sz w:val="28"/>
          <w:szCs w:val="28"/>
        </w:rPr>
      </w:pPr>
      <w:r>
        <w:rPr>
          <w:rFonts w:ascii="仿宋" w:eastAsia="仿宋" w:cs="仿宋" w:hint="eastAsia"/>
          <w:color w:val="auto"/>
          <w:sz w:val="28"/>
          <w:szCs w:val="28"/>
        </w:rPr>
        <w:t xml:space="preserve">（12）交货时采购人有权要求中标人就产品的合法供货渠道进行说明；采购人认为有必要的，中标人应提供有效的书面证明材料。如果中标人提供非法渠道的商品，视为欺诈，为维护采购人合法权益，中标人要承担商品价值双倍的赔偿； 同时，采购人保留依据现行的国家法律法规追究其他责任的权利。 </w:t>
      </w:r>
    </w:p>
    <w:p>
      <w:pPr>
        <w:tabs>
          <w:tab w:val="left" w:pos="630"/>
        </w:tabs>
        <w:spacing w:line="500" w:lineRule="exact"/>
        <w:ind w:firstLineChars="200" w:firstLine="560"/>
        <w:textAlignment w:val="baseline"/>
        <w:rPr>
          <w:rFonts w:ascii="仿宋" w:eastAsia="仿宋" w:cs="仿宋"/>
          <w:color w:val="auto"/>
          <w:sz w:val="28"/>
          <w:szCs w:val="28"/>
        </w:rPr>
      </w:pPr>
      <w:r>
        <w:rPr>
          <w:rFonts w:ascii="仿宋" w:eastAsia="仿宋" w:cs="仿宋" w:hint="eastAsia"/>
          <w:color w:val="auto"/>
          <w:sz w:val="28"/>
          <w:szCs w:val="28"/>
        </w:rPr>
        <w:t>（13）货物的包装和发运必须符合货物特性要求。为了保证货物在长途运输和装卸过程中的安全，货物包装均应符合《商品包装政府采购需求标准（试行）》《快递包装政府采购需求标准（试行）》的要求，包装应适应于远距离运输、防潮、防震、防锈和防野蛮装卸，以确保货物安全无损运抵指定地点。由于包装不善导致货物锈蚀、失缺或损坏，由中标人承担一切责任。</w:t>
      </w:r>
    </w:p>
    <w:p>
      <w:pPr>
        <w:pStyle w:val="4"/>
        <w:spacing w:before="0" w:after="0" w:line="500" w:lineRule="exact"/>
        <w:rPr>
          <w:rFonts w:ascii="仿宋" w:eastAsia="仿宋" w:cs="仿宋"/>
          <w:bCs/>
          <w:color w:val="auto"/>
          <w:sz w:val="28"/>
          <w:szCs w:val="28"/>
        </w:rPr>
      </w:pPr>
      <w:r>
        <w:rPr>
          <w:rFonts w:ascii="仿宋" w:eastAsia="仿宋" w:cs="仿宋" w:hint="eastAsia"/>
          <w:bCs/>
          <w:color w:val="auto"/>
          <w:sz w:val="28"/>
          <w:szCs w:val="28"/>
        </w:rPr>
        <w:t>★四、商务要求（实质性要求）（第1-4包适用）</w:t>
      </w:r>
    </w:p>
    <w:p>
      <w:pPr>
        <w:spacing w:line="500" w:lineRule="exact"/>
        <w:ind w:firstLineChars="200" w:firstLine="560"/>
        <w:rPr>
          <w:rFonts w:ascii="仿宋" w:eastAsia="仿宋" w:cs="仿宋"/>
          <w:bCs/>
          <w:color w:val="auto"/>
          <w:sz w:val="28"/>
          <w:szCs w:val="28"/>
        </w:rPr>
      </w:pPr>
      <w:r>
        <w:rPr>
          <w:rFonts w:ascii="仿宋" w:eastAsia="仿宋" w:cs="仿宋"/>
          <w:bCs/>
          <w:color w:val="auto"/>
          <w:sz w:val="28"/>
          <w:szCs w:val="28"/>
        </w:rPr>
        <w:t>1.交货期及地点</w:t>
      </w:r>
    </w:p>
    <w:p>
      <w:pPr>
        <w:spacing w:line="500" w:lineRule="exact"/>
        <w:ind w:firstLineChars="200" w:firstLine="560"/>
        <w:rPr>
          <w:rFonts w:ascii="仿宋" w:eastAsia="仿宋" w:cs="仿宋"/>
          <w:bCs/>
          <w:color w:val="auto"/>
          <w:sz w:val="28"/>
          <w:szCs w:val="28"/>
        </w:rPr>
      </w:pPr>
      <w:r>
        <w:rPr>
          <w:rFonts w:ascii="仿宋" w:eastAsia="仿宋" w:cs="仿宋"/>
          <w:bCs/>
          <w:color w:val="auto"/>
          <w:sz w:val="28"/>
          <w:szCs w:val="28"/>
        </w:rPr>
        <w:t>1.1交货期：</w:t>
      </w:r>
    </w:p>
    <w:p>
      <w:pPr>
        <w:spacing w:line="500" w:lineRule="exact"/>
        <w:ind w:firstLineChars="200" w:firstLine="560"/>
        <w:rPr>
          <w:rFonts w:ascii="仿宋" w:eastAsia="仿宋" w:cs="仿宋"/>
          <w:bCs/>
          <w:color w:val="auto"/>
          <w:sz w:val="28"/>
          <w:szCs w:val="28"/>
        </w:rPr>
      </w:pPr>
      <w:r>
        <w:rPr>
          <w:rFonts w:ascii="仿宋" w:eastAsia="仿宋" w:cs="仿宋"/>
          <w:bCs/>
          <w:color w:val="auto"/>
          <w:sz w:val="28"/>
          <w:szCs w:val="28"/>
        </w:rPr>
        <w:t>（1）采购人下订单后，根据采购人的电话或传真通知，急需产品需在48小时内送到采购人处，其它订单的货物应保证1-2周内供货。不能按时供货视为违约，应承担相应的违约责任。</w:t>
      </w:r>
    </w:p>
    <w:p>
      <w:pPr>
        <w:spacing w:line="500" w:lineRule="exact"/>
        <w:ind w:firstLineChars="200" w:firstLine="560"/>
        <w:rPr>
          <w:rFonts w:ascii="仿宋" w:eastAsia="仿宋" w:cs="仿宋"/>
          <w:bCs/>
          <w:color w:val="auto"/>
          <w:sz w:val="28"/>
          <w:szCs w:val="28"/>
        </w:rPr>
      </w:pPr>
      <w:r>
        <w:rPr>
          <w:rFonts w:ascii="仿宋" w:eastAsia="仿宋" w:cs="仿宋"/>
          <w:bCs/>
          <w:color w:val="auto"/>
          <w:sz w:val="28"/>
          <w:szCs w:val="28"/>
        </w:rPr>
        <w:t>（2）中标人如因特殊原因不能及时向采购人供货，需及时书面通知采购人，并与采购人协商及提出解决方案。 如采购人所需货物在市场上易获得，只是价格有变动，此种情况不按时供货视为违约。</w:t>
      </w:r>
    </w:p>
    <w:p>
      <w:pPr>
        <w:spacing w:line="500" w:lineRule="exact"/>
        <w:ind w:firstLineChars="200" w:firstLine="560"/>
        <w:rPr>
          <w:rFonts w:ascii="仿宋" w:eastAsia="仿宋" w:cs="仿宋"/>
          <w:bCs/>
          <w:color w:val="auto"/>
          <w:sz w:val="28"/>
          <w:szCs w:val="28"/>
        </w:rPr>
      </w:pPr>
      <w:r>
        <w:rPr>
          <w:rFonts w:ascii="仿宋" w:eastAsia="仿宋" w:cs="仿宋"/>
          <w:bCs/>
          <w:color w:val="auto"/>
          <w:sz w:val="28"/>
          <w:szCs w:val="28"/>
        </w:rPr>
        <w:t>（3）采购过程中以采购人实际需求数量为准，按实际发生数量结算，直至本项目采购预算用完为止。</w:t>
      </w:r>
    </w:p>
    <w:p>
      <w:pPr>
        <w:spacing w:line="500" w:lineRule="exact"/>
        <w:ind w:firstLineChars="200" w:firstLine="560"/>
        <w:rPr>
          <w:rFonts w:ascii="仿宋" w:eastAsia="仿宋" w:cs="仿宋"/>
          <w:bCs/>
          <w:color w:val="auto"/>
          <w:sz w:val="28"/>
          <w:szCs w:val="28"/>
        </w:rPr>
      </w:pPr>
      <w:r>
        <w:rPr>
          <w:rFonts w:ascii="仿宋" w:eastAsia="仿宋" w:cs="仿宋"/>
          <w:bCs/>
          <w:color w:val="auto"/>
          <w:sz w:val="28"/>
          <w:szCs w:val="28"/>
        </w:rPr>
        <w:t xml:space="preserve">1.2交货地点: </w:t>
      </w:r>
    </w:p>
    <w:p>
      <w:pPr>
        <w:spacing w:line="500" w:lineRule="exact"/>
        <w:ind w:firstLineChars="200" w:firstLine="560"/>
        <w:rPr>
          <w:rFonts w:ascii="仿宋" w:eastAsia="仿宋" w:cs="仿宋"/>
          <w:bCs/>
          <w:color w:val="auto"/>
          <w:sz w:val="28"/>
          <w:szCs w:val="28"/>
        </w:rPr>
      </w:pPr>
      <w:r>
        <w:rPr>
          <w:rFonts w:ascii="仿宋" w:eastAsia="仿宋" w:cs="仿宋"/>
          <w:bCs/>
          <w:color w:val="auto"/>
          <w:sz w:val="28"/>
          <w:szCs w:val="28"/>
        </w:rPr>
        <w:t>送至采购人指定地点，原则上货物需送货上楼，但征得需求部门同意的货物也可不送货上楼。</w:t>
      </w:r>
    </w:p>
    <w:p>
      <w:pPr>
        <w:spacing w:line="500" w:lineRule="exact"/>
        <w:ind w:firstLineChars="200" w:firstLine="560"/>
        <w:rPr>
          <w:rFonts w:ascii="仿宋" w:eastAsia="仿宋" w:cs="仿宋"/>
          <w:bCs/>
          <w:color w:val="auto"/>
          <w:sz w:val="28"/>
          <w:szCs w:val="28"/>
        </w:rPr>
      </w:pPr>
      <w:r>
        <w:rPr>
          <w:rFonts w:ascii="仿宋" w:eastAsia="仿宋" w:cs="仿宋"/>
          <w:bCs/>
          <w:color w:val="auto"/>
          <w:sz w:val="28"/>
          <w:szCs w:val="28"/>
        </w:rPr>
        <w:t>(1)、需求部门为理化一室、理化二室的货物送货地址为：成都市一环路南四段28号实验楼；</w:t>
      </w:r>
    </w:p>
    <w:p>
      <w:pPr>
        <w:spacing w:line="500" w:lineRule="exact"/>
        <w:ind w:firstLineChars="200" w:firstLine="560"/>
        <w:rPr>
          <w:rFonts w:ascii="仿宋" w:eastAsia="仿宋" w:cs="仿宋"/>
          <w:bCs/>
          <w:color w:val="auto"/>
          <w:sz w:val="28"/>
          <w:szCs w:val="28"/>
        </w:rPr>
      </w:pPr>
      <w:r>
        <w:rPr>
          <w:rFonts w:ascii="仿宋" w:eastAsia="仿宋" w:cs="仿宋"/>
          <w:bCs/>
          <w:color w:val="auto"/>
          <w:sz w:val="28"/>
          <w:szCs w:val="28"/>
        </w:rPr>
        <w:t>(2)、需求部门为化矿实验室的货物送货地址为：成都市武侯区益州大道中段1800号G2成都海关8楼；</w:t>
      </w:r>
    </w:p>
    <w:p>
      <w:pPr>
        <w:spacing w:line="500" w:lineRule="exact"/>
        <w:ind w:firstLineChars="200" w:firstLine="560"/>
        <w:rPr>
          <w:rFonts w:ascii="仿宋" w:eastAsia="仿宋" w:cs="仿宋"/>
          <w:bCs/>
          <w:color w:val="auto"/>
          <w:sz w:val="28"/>
          <w:szCs w:val="28"/>
        </w:rPr>
      </w:pPr>
      <w:r>
        <w:rPr>
          <w:rFonts w:ascii="仿宋" w:eastAsia="仿宋" w:cs="仿宋"/>
          <w:bCs/>
          <w:color w:val="auto"/>
          <w:sz w:val="28"/>
          <w:szCs w:val="28"/>
        </w:rPr>
        <w:t>(3)、需求部门为德阳分部的货物送货地址为：四川省德阳市旌阳区八角井街道金沙江东路207号9楼海关实验室；</w:t>
      </w:r>
    </w:p>
    <w:p>
      <w:pPr>
        <w:spacing w:line="500" w:lineRule="exact"/>
        <w:ind w:firstLineChars="200" w:firstLine="560"/>
        <w:rPr>
          <w:rFonts w:ascii="仿宋" w:eastAsia="仿宋" w:cs="仿宋"/>
          <w:bCs/>
          <w:color w:val="auto"/>
          <w:sz w:val="28"/>
          <w:szCs w:val="28"/>
        </w:rPr>
      </w:pPr>
      <w:r>
        <w:rPr>
          <w:rFonts w:ascii="仿宋" w:eastAsia="仿宋" w:cs="仿宋"/>
          <w:bCs/>
          <w:color w:val="auto"/>
          <w:sz w:val="28"/>
          <w:szCs w:val="28"/>
        </w:rPr>
        <w:t>(4)、需求部门为泸州分部的货物送货地址为：泸州市龙马潭区临港大道二段10号海关业务大楼</w:t>
      </w:r>
    </w:p>
    <w:p>
      <w:pPr>
        <w:spacing w:line="500" w:lineRule="exact"/>
        <w:ind w:firstLineChars="200" w:firstLine="560"/>
        <w:rPr>
          <w:rFonts w:ascii="仿宋" w:eastAsia="仿宋" w:cs="仿宋"/>
          <w:bCs/>
          <w:color w:val="auto"/>
          <w:sz w:val="28"/>
          <w:szCs w:val="28"/>
        </w:rPr>
      </w:pPr>
      <w:r>
        <w:rPr>
          <w:rFonts w:ascii="仿宋" w:eastAsia="仿宋" w:cs="仿宋"/>
          <w:bCs/>
          <w:color w:val="auto"/>
          <w:sz w:val="28"/>
          <w:szCs w:val="28"/>
        </w:rPr>
        <w:t>2.付款方法和条件：</w:t>
      </w:r>
    </w:p>
    <w:p>
      <w:pPr>
        <w:spacing w:line="500" w:lineRule="exact"/>
        <w:ind w:firstLineChars="200" w:firstLine="560"/>
        <w:rPr>
          <w:rFonts w:ascii="仿宋" w:eastAsia="仿宋" w:cs="仿宋"/>
          <w:bCs/>
          <w:color w:val="auto"/>
          <w:sz w:val="28"/>
          <w:szCs w:val="28"/>
        </w:rPr>
      </w:pPr>
      <w:r>
        <w:rPr>
          <w:rFonts w:ascii="仿宋" w:eastAsia="仿宋" w:cs="仿宋"/>
          <w:bCs/>
          <w:color w:val="auto"/>
          <w:sz w:val="28"/>
          <w:szCs w:val="28"/>
        </w:rPr>
        <w:t>2.1中标人产品到货且经采购人验收合格后，采购人根据资金情况通知中标人开具增值税专用票，中标人向采购人提供对应订单总价款的增值税专用发票（按国家相关规定无法开具的除外），采购人在财政资金可以支付且收到发票后10个工作日内向中标人支付该订单货款。</w:t>
      </w:r>
    </w:p>
    <w:p>
      <w:pPr>
        <w:spacing w:line="500" w:lineRule="exact"/>
        <w:ind w:firstLineChars="200" w:firstLine="560"/>
        <w:rPr>
          <w:rFonts w:ascii="仿宋" w:eastAsia="仿宋" w:cs="仿宋"/>
          <w:bCs/>
          <w:color w:val="auto"/>
          <w:sz w:val="28"/>
          <w:szCs w:val="28"/>
        </w:rPr>
      </w:pPr>
      <w:r>
        <w:rPr>
          <w:rFonts w:ascii="仿宋" w:eastAsia="仿宋" w:cs="仿宋"/>
          <w:bCs/>
          <w:color w:val="auto"/>
          <w:sz w:val="28"/>
          <w:szCs w:val="28"/>
        </w:rPr>
        <w:t>2.2因财政集中支付延误时间不计算在内，中标人提交付款单据迟延或缺失的，采购人有权相应顺延付款期限。</w:t>
      </w:r>
    </w:p>
    <w:p>
      <w:pPr>
        <w:spacing w:line="500" w:lineRule="exact"/>
        <w:ind w:firstLineChars="200" w:firstLine="560"/>
        <w:rPr>
          <w:rFonts w:ascii="仿宋" w:eastAsia="仿宋" w:cs="仿宋"/>
          <w:bCs/>
          <w:color w:val="auto"/>
          <w:sz w:val="28"/>
          <w:szCs w:val="28"/>
        </w:rPr>
      </w:pPr>
      <w:r>
        <w:rPr>
          <w:rFonts w:ascii="仿宋" w:eastAsia="仿宋" w:cs="仿宋"/>
          <w:bCs/>
          <w:color w:val="auto"/>
          <w:sz w:val="28"/>
          <w:szCs w:val="28"/>
        </w:rPr>
        <w:t>注：如因资金支付问题，本批试剂耗材采购费用有可能在年底统一结算，具体以可支付时间为准。</w:t>
      </w:r>
    </w:p>
    <w:p>
      <w:pPr>
        <w:spacing w:line="500" w:lineRule="exact"/>
        <w:ind w:firstLineChars="200" w:firstLine="560"/>
        <w:rPr>
          <w:rFonts w:ascii="仿宋" w:eastAsia="仿宋" w:cs="仿宋"/>
          <w:bCs/>
          <w:color w:val="auto"/>
          <w:sz w:val="28"/>
          <w:szCs w:val="28"/>
        </w:rPr>
      </w:pPr>
      <w:r>
        <w:rPr>
          <w:rFonts w:ascii="仿宋" w:eastAsia="仿宋" w:cs="仿宋"/>
          <w:bCs/>
          <w:color w:val="auto"/>
          <w:sz w:val="28"/>
          <w:szCs w:val="28"/>
        </w:rPr>
        <w:t>3.履约验收：</w:t>
      </w:r>
    </w:p>
    <w:p>
      <w:pPr>
        <w:spacing w:line="500" w:lineRule="exact"/>
        <w:ind w:firstLineChars="200" w:firstLine="560"/>
        <w:rPr>
          <w:rFonts w:ascii="仿宋" w:eastAsia="仿宋" w:cs="仿宋"/>
          <w:bCs/>
          <w:color w:val="auto"/>
          <w:sz w:val="28"/>
          <w:szCs w:val="28"/>
        </w:rPr>
      </w:pPr>
      <w:r>
        <w:rPr>
          <w:rFonts w:ascii="仿宋" w:eastAsia="仿宋" w:cs="仿宋"/>
          <w:bCs/>
          <w:color w:val="auto"/>
          <w:sz w:val="28"/>
          <w:szCs w:val="28"/>
        </w:rPr>
        <w:t>3.1履约验收主体：成都海关技术中心</w:t>
      </w:r>
    </w:p>
    <w:p>
      <w:pPr>
        <w:spacing w:line="500" w:lineRule="exact"/>
        <w:ind w:firstLineChars="200" w:firstLine="560"/>
        <w:rPr>
          <w:rFonts w:ascii="仿宋" w:eastAsia="仿宋" w:cs="仿宋"/>
          <w:bCs/>
          <w:color w:val="auto"/>
          <w:sz w:val="28"/>
          <w:szCs w:val="28"/>
        </w:rPr>
      </w:pPr>
      <w:r>
        <w:rPr>
          <w:rFonts w:ascii="仿宋" w:eastAsia="仿宋" w:cs="仿宋"/>
          <w:bCs/>
          <w:color w:val="auto"/>
          <w:sz w:val="28"/>
          <w:szCs w:val="28"/>
        </w:rPr>
        <w:t>3.2履约验收时间：供应商提出验收申请之日起10日内组织验收</w:t>
      </w:r>
    </w:p>
    <w:p>
      <w:pPr>
        <w:spacing w:line="500" w:lineRule="exact"/>
        <w:ind w:firstLineChars="200" w:firstLine="560"/>
        <w:rPr>
          <w:rFonts w:ascii="仿宋" w:eastAsia="仿宋" w:cs="仿宋"/>
          <w:bCs/>
          <w:color w:val="auto"/>
          <w:sz w:val="28"/>
          <w:szCs w:val="28"/>
        </w:rPr>
      </w:pPr>
      <w:r>
        <w:rPr>
          <w:rFonts w:ascii="仿宋" w:eastAsia="仿宋" w:cs="仿宋"/>
          <w:bCs/>
          <w:color w:val="auto"/>
          <w:sz w:val="28"/>
          <w:szCs w:val="28"/>
        </w:rPr>
        <w:t>3.3验收组织方式：自行验收</w:t>
      </w:r>
    </w:p>
    <w:p>
      <w:pPr>
        <w:spacing w:line="500" w:lineRule="exact"/>
        <w:ind w:firstLineChars="200" w:firstLine="560"/>
        <w:rPr>
          <w:rFonts w:ascii="仿宋" w:eastAsia="仿宋" w:cs="仿宋"/>
          <w:bCs/>
          <w:color w:val="auto"/>
          <w:sz w:val="28"/>
          <w:szCs w:val="28"/>
        </w:rPr>
      </w:pPr>
      <w:r>
        <w:rPr>
          <w:rFonts w:ascii="仿宋" w:eastAsia="仿宋" w:cs="仿宋"/>
          <w:bCs/>
          <w:color w:val="auto"/>
          <w:sz w:val="28"/>
          <w:szCs w:val="28"/>
        </w:rPr>
        <w:t>3.4履约验收程序：一次性验收</w:t>
      </w:r>
    </w:p>
    <w:p>
      <w:pPr>
        <w:spacing w:line="500" w:lineRule="exact"/>
        <w:ind w:firstLineChars="200" w:firstLine="560"/>
        <w:rPr>
          <w:rFonts w:ascii="仿宋" w:eastAsia="仿宋" w:cs="仿宋"/>
          <w:bCs/>
          <w:color w:val="auto"/>
          <w:sz w:val="28"/>
          <w:szCs w:val="28"/>
        </w:rPr>
      </w:pPr>
      <w:r>
        <w:rPr>
          <w:rFonts w:ascii="仿宋" w:eastAsia="仿宋" w:cs="仿宋"/>
          <w:bCs/>
          <w:color w:val="auto"/>
          <w:sz w:val="28"/>
          <w:szCs w:val="28"/>
        </w:rPr>
        <w:t>3.5技术履约验收内容：按照本项目招标文件中“技术、服务要求”及中标人投标文件进行验收。</w:t>
      </w:r>
    </w:p>
    <w:p>
      <w:pPr>
        <w:spacing w:line="500" w:lineRule="exact"/>
        <w:ind w:firstLineChars="200" w:firstLine="560"/>
        <w:rPr>
          <w:rFonts w:ascii="仿宋" w:eastAsia="仿宋" w:cs="仿宋"/>
          <w:bCs/>
          <w:color w:val="auto"/>
          <w:sz w:val="28"/>
          <w:szCs w:val="28"/>
        </w:rPr>
      </w:pPr>
      <w:r>
        <w:rPr>
          <w:rFonts w:ascii="仿宋" w:eastAsia="仿宋" w:cs="仿宋"/>
          <w:bCs/>
          <w:color w:val="auto"/>
          <w:sz w:val="28"/>
          <w:szCs w:val="28"/>
        </w:rPr>
        <w:t>3.6商务履约验收内容：按照本项目招标文件中“商务要求”及中标人投标文件进行验收。</w:t>
      </w:r>
    </w:p>
    <w:p>
      <w:pPr>
        <w:spacing w:line="500" w:lineRule="exact"/>
        <w:ind w:firstLineChars="200" w:firstLine="560"/>
        <w:rPr>
          <w:rFonts w:ascii="仿宋" w:eastAsia="仿宋" w:cs="仿宋"/>
          <w:bCs/>
          <w:color w:val="auto"/>
          <w:sz w:val="28"/>
          <w:szCs w:val="28"/>
        </w:rPr>
      </w:pPr>
      <w:r>
        <w:rPr>
          <w:rFonts w:ascii="仿宋" w:eastAsia="仿宋" w:cs="仿宋"/>
          <w:bCs/>
          <w:color w:val="auto"/>
          <w:sz w:val="28"/>
          <w:szCs w:val="28"/>
        </w:rPr>
        <w:t>3.7履约验收标准：按照《财政部关于进一步加强政府采购需求和履约验收管理的指导意见》（财库〔2016〕205号）的要求进行验收。</w:t>
      </w:r>
    </w:p>
    <w:p>
      <w:pPr>
        <w:pStyle w:val="15"/>
        <w:spacing w:line="500" w:lineRule="exact"/>
        <w:rPr>
          <w:rFonts w:ascii="仿宋" w:eastAsia="仿宋" w:cs="仿宋"/>
          <w:bCs/>
          <w:color w:val="auto"/>
          <w:sz w:val="28"/>
          <w:szCs w:val="28"/>
        </w:rPr>
      </w:pPr>
      <w:r>
        <w:rPr>
          <w:rFonts w:ascii="仿宋" w:eastAsia="仿宋" w:cs="仿宋" w:hint="eastAsia"/>
          <w:bCs/>
          <w:color w:val="auto"/>
          <w:kern w:val="0"/>
          <w:sz w:val="28"/>
          <w:szCs w:val="28"/>
        </w:rPr>
        <w:t>4.违约责任：除采购人和中标人双方另有约定外，如果中标人没有按照合同规定的时间交货和提供服务，采购人有权要求中标人支付误期赔偿费，或从合同货款、履约保证金中扣除误期赔偿费。每出现一次不能按时供货，采购人有权扣除中标人合同金额0.5%的履约保证金作为误期赔偿费。但误期赔偿费的合计最高限额不超过合同总金额的百分之十（10%）。一旦达到误期赔偿的最高限额，采购人有权单方面解除合同。</w:t>
      </w:r>
    </w:p>
    <w:p>
      <w:pPr>
        <w:spacing w:line="500" w:lineRule="exact"/>
        <w:ind w:firstLineChars="200" w:firstLine="480"/>
      </w:pPr>
      <w:r>
        <w:rPr>
          <w:rFonts w:ascii="仿宋" w:eastAsia="仿宋" w:cs="仿宋" w:hint="eastAsia"/>
          <w:b/>
          <w:color w:val="auto"/>
          <w:sz w:val="24"/>
          <w:szCs w:val="24"/>
        </w:rPr>
        <w:t>注：1.本章中标注“★”的内容为实质性要求，供应商若不满足则视为无效响应。2.若本章涉及的国家标准有最新，按最新标准执行。3.若采购文件涉及品牌或者供应商，其目的是为了准备清楚说明采购项目的技术标准和要求，其意思表示为“参照或相当于”品牌或者供应商，其品牌或供应商具有可替代性。</w:t>
      </w:r>
    </w:p>
    <w:sectPr>
      <w:footerReference w:type="default" r:id="rId2"/>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7A"/>
    <w:family w:val="auto"/>
    <w:pitch w:val="variable"/>
    <w:sig w:usb0="00000003" w:usb1="288F0000" w:usb2="00000006" w:usb3="00000000" w:csb0="00040001" w:csb1="00000000"/>
  </w:font>
  <w:font w:name="仿宋">
    <w:panose1 w:val="02010609060101010101"/>
    <w:charset w:val="86"/>
    <w:family w:val="auto"/>
    <w:pitch w:val="variable"/>
    <w:sig w:usb0="800002BF" w:usb1="38CF7CFA" w:usb2="00000016" w:usb3="00000000" w:csb0="00040001" w:csb1="00000000"/>
  </w:font>
  <w:font w:name="Times New Roman">
    <w:panose1 w:val="02020603050405020304"/>
    <w:charset w:val="81"/>
    <w:family w:val="swiss"/>
    <w:pitch w:val="variable"/>
    <w:sig w:usb0="E0002AFF" w:usb1="C0007841" w:usb2="00000009" w:usb3="00000000" w:csb0="400001FF" w:csb1="FFFF0000"/>
  </w:font>
  <w:font w:name="Arial">
    <w:panose1 w:val="020B0604020202020204"/>
    <w:charset w:val="01"/>
    <w:family w:val="swiss"/>
    <w:pitch w:val="variable"/>
    <w:sig w:usb0="E0002AFF" w:usb1="C0007843" w:usb2="00000009" w:usb3="00000000" w:csb0="400001FF" w:csb1="FFFF0000"/>
  </w:font>
  <w:font w:name="黑体">
    <w:panose1 w:val="02010609060101010101"/>
    <w:charset w:val="86"/>
    <w:family w:val="auto"/>
    <w:pitch w:val="variable"/>
    <w:sig w:usb0="800002BF" w:usb1="38CF7CFA" w:usb2="00000016" w:usb3="00000000" w:csb0="00040001" w:csb1="00000000"/>
  </w:font>
  <w:font w:name="Calibri">
    <w:panose1 w:val="020F0502020204030204"/>
    <w:charset w:val="00"/>
    <w:family w:val="swiss"/>
    <w:pitch w:val="variable"/>
    <w:sig w:usb0="E00002FF" w:usb1="4000ACFF" w:usb2="00000001" w:usb3="00000000" w:csb0="2000019F" w:csb1="00000000"/>
  </w:font>
  <w:font w:name="等线">
    <w:altName w:val="微软雅黑"/>
    <w:panose1 w:val="02010600030101010101"/>
    <w:charset w:val="86"/>
    <w:family w:val="auto"/>
    <w:pitch w:val="variable"/>
    <w:sig w:usb0="00000000" w:usb1="00000000" w:usb2="00000016" w:usb3="00000000" w:csb0="0004000F" w:csb1="00000000"/>
  </w:font>
  <w:font w:name="仿宋_GB2312">
    <w:altName w:val="仿宋"/>
    <w:panose1 w:val="02010609030101010101"/>
    <w:charset w:val="86"/>
    <w:family w:val="modern"/>
    <w:pitch w:val="variable"/>
    <w:sig w:usb0="00000000" w:usb1="00000000" w:usb2="00000000" w:usb3="00000000" w:csb0="00040000" w:csb1="00000000"/>
  </w:font>
  <w:font w:name="新宋体">
    <w:panose1 w:val="02010609030101010101"/>
    <w:charset w:val="86"/>
    <w:family w:val="modern"/>
    <w:pitch w:val="variable"/>
    <w:sig w:usb0="00000003" w:usb1="288F0000" w:usb2="00000006" w:usb3="00000000" w:csb0="0004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1"/>
      <w:tabs>
        <w:tab w:val="center" w:pos="4153"/>
        <w:tab w:val="right" w:pos="8306"/>
      </w:tabs>
    </w:pPr>
    <w:r>
      <w:rPr>
        <w:sz w:val="18"/>
      </w:rPr>
      <mc:AlternateContent>
        <mc:Choice Requires="wps">
          <w:drawing>
            <wp:anchor distT="0" distB="0" distL="114298" distR="114298" simplePos="0" relativeHeight="10" behindDoc="0" locked="0" layoutInCell="1" hidden="0" allowOverlap="1">
              <wp:simplePos x="0" y="0"/>
              <wp:positionH relativeFrom="margin">
                <wp:align>outside</wp:align>
              </wp:positionH>
              <wp:positionV relativeFrom="paragraph">
                <wp:posOffset>0</wp:posOffset>
              </wp:positionV>
              <wp:extent cx="822325" cy="230251"/>
              <wp:effectExtent l="0" t="0" r="0" b="0"/>
              <wp:wrapNone/>
              <wp:docPr id="1" name="文本框 1"/>
              <wp:cNvGraphicFramePr>
                <a:graphicFrameLocks noChangeAspect="0"/>
              </wp:cNvGraphicFramePr>
              <a:graphic>
                <a:graphicData uri="http://schemas.microsoft.com/office/word/2010/wordprocessingShape">
                  <wps:wsp>
                    <wps:cNvSpPr/>
                    <wps:spPr>
                      <a:xfrm rot="0">
                        <a:off x="0" y="0"/>
                        <a:ext cx="822325" cy="230251"/>
                      </a:xfrm>
                      <a:prstGeom prst="rect"/>
                      <a:noFill/>
                      <a:ln w="9525" cmpd="sng" cap="flat">
                        <a:noFill/>
                        <a:prstDash val="solid"/>
                        <a:round/>
                      </a:ln>
                    </wps:spPr>
                    <wps:txbx id="2">
                      <w:txbxContent>
                        <w:p>
                          <w:pPr>
                            <w:pStyle w:val="21"/>
                            <w:keepNext w:val="0"/>
                            <w:keepLines w:val="0"/>
                            <w:pageBreakBefore w:val="0"/>
                            <w:widowControl w:val="0"/>
                            <w:tabs>
                              <w:tab w:val="center" w:pos="4153"/>
                              <w:tab w:val="right" w:pos="8306"/>
                            </w:tabs>
                            <w:kinsoku/>
                            <w:wordWrap/>
                            <w:overflowPunct/>
                            <w:topLinePunct w:val="0"/>
                            <w:autoSpaceDE/>
                            <w:autoSpaceDN/>
                            <w:bidi w:val="0"/>
                            <w:adjustRightInd/>
                            <w:snapToGrid w:val="0"/>
                            <w:ind w:leftChars="150" w:left="315"/>
                            <w:textAlignment w:val="auto"/>
                            <w:rPr>
                              <w:rFonts w:ascii="宋体" w:eastAsia="宋体" w:cs="宋体" w:hint="eastAsia"/>
                              <w:sz w:val="28"/>
                              <w:szCs w:val="28"/>
                            </w:rPr>
                          </w:pPr>
                          <w:r>
                            <w:rPr>
                              <w:rFonts w:ascii="宋体" w:eastAsia="宋体" w:cs="宋体" w:hint="eastAsia"/>
                              <w:sz w:val="28"/>
                              <w:szCs w:val="28"/>
                            </w:rPr>
                            <w:t xml:space="preserve">— </w:t>
                          </w:r>
                          <w:r>
                            <w:rPr>
                              <w:rFonts w:ascii="宋体" w:eastAsia="宋体" w:cs="宋体" w:hint="eastAsia"/>
                              <w:sz w:val="28"/>
                              <w:szCs w:val="28"/>
                            </w:rPr>
                            <w:fldChar w:fldCharType="begin"/>
                          </w:r>
                          <w:r>
                            <w:rPr>
                              <w:rFonts w:ascii="宋体" w:eastAsia="宋体" w:cs="宋体" w:hint="eastAsia"/>
                              <w:sz w:val="28"/>
                              <w:szCs w:val="28"/>
                            </w:rPr>
                            <w:instrText xml:space="preserve"> PAGE  \* MERGEFORMAT </w:instrText>
                          </w:r>
                          <w:r>
                            <w:rPr>
                              <w:rFonts w:ascii="宋体" w:eastAsia="宋体" w:cs="宋体" w:hint="eastAsia"/>
                              <w:sz w:val="28"/>
                              <w:szCs w:val="28"/>
                            </w:rPr>
                            <w:fldChar w:fldCharType="separate"/>
                          </w:r>
                          <w:r>
                            <w:rPr>
                              <w:rFonts w:ascii="宋体" w:eastAsia="宋体" w:cs="宋体" w:hint="eastAsia"/>
                              <w:sz w:val="28"/>
                              <w:szCs w:val="28"/>
                            </w:rPr>
                            <w:t>1</w:t>
                          </w:r>
                          <w:r>
                            <w:rPr>
                              <w:rFonts w:ascii="宋体" w:eastAsia="宋体" w:cs="宋体" w:hint="eastAsia"/>
                              <w:sz w:val="28"/>
                              <w:szCs w:val="28"/>
                            </w:rPr>
                            <w:fldChar w:fldCharType="end"/>
                          </w:r>
                          <w:r>
                            <w:rPr>
                              <w:rFonts w:ascii="宋体" w:eastAsia="宋体" w:cs="宋体" w:hint="eastAsia"/>
                              <w:sz w:val="28"/>
                              <w:szCs w:val="28"/>
                            </w:rPr>
                            <w:t xml:space="preserve"> —</w:t>
                          </w:r>
                        </w:p>
                      </w:txbxContent>
                    </wps:txbx>
                    <wps:bodyPr vert="horz" wrap="none" lIns="0" tIns="0" rIns="0" bIns="0" anchor="t" anchorCtr="0" upright="0">
                      <a:spAutoFit/>
                    </wps:bodyPr>
                  </wps:wsp>
                </a:graphicData>
              </a:graphic>
            </wp:anchor>
          </w:drawing>
        </mc:Choice>
        <mc:Fallback>
          <w:pict>
            <v:shape type="#_x0000_t202" id="文本框 1 3" o:spid="_x0000_s3" filled="f" stroked="f" style="position:absolute;margin-left:694.0986pt;margin-top:0.0pt;width:64.75001pt;height:18.130003pt;z-index:10;mso-position-horizontal:outside;mso-position-horizontal-relative:margin;mso-position-vertical:absolute;mso-wrap-distance-left:8.999863pt;mso-wrap-distance-right:8.999863pt;mso-wrap-style:none;">
              <v:stroke color="#000000"/>
              <v:textbox id="848" inset="0mm,0mm,0mm,0mm" o:insetmode="custom" style="layout-flow:horizontal;v-text-anchor:top;mso-fit-shape-to-text:t;">
                <w:txbxContent>
                  <w:p>
                    <w:pPr>
                      <w:pStyle w:val="21"/>
                      <w:keepNext w:val="0"/>
                      <w:keepLines w:val="0"/>
                      <w:pageBreakBefore w:val="0"/>
                      <w:widowControl w:val="0"/>
                      <w:tabs>
                        <w:tab w:val="center" w:pos="4153"/>
                        <w:tab w:val="right" w:pos="8306"/>
                      </w:tabs>
                      <w:kinsoku/>
                      <w:wordWrap/>
                      <w:overflowPunct/>
                      <w:topLinePunct w:val="0"/>
                      <w:autoSpaceDE/>
                      <w:autoSpaceDN/>
                      <w:bidi w:val="0"/>
                      <w:adjustRightInd/>
                      <w:snapToGrid w:val="0"/>
                      <w:ind w:leftChars="150" w:left="315"/>
                      <w:textAlignment w:val="auto"/>
                      <w:rPr>
                        <w:rFonts w:ascii="宋体" w:eastAsia="宋体" w:cs="宋体" w:hint="eastAsia"/>
                        <w:sz w:val="28"/>
                        <w:szCs w:val="28"/>
                      </w:rPr>
                    </w:pPr>
                    <w:r>
                      <w:rPr>
                        <w:rFonts w:ascii="宋体" w:eastAsia="宋体" w:cs="宋体" w:hint="eastAsia"/>
                        <w:sz w:val="28"/>
                        <w:szCs w:val="28"/>
                      </w:rPr>
                      <w:t xml:space="preserve">— </w:t>
                    </w:r>
                    <w:r>
                      <w:rPr>
                        <w:rFonts w:ascii="宋体" w:eastAsia="宋体" w:cs="宋体" w:hint="eastAsia"/>
                        <w:sz w:val="28"/>
                        <w:szCs w:val="28"/>
                      </w:rPr>
                      <w:fldChar w:fldCharType="begin"/>
                    </w:r>
                    <w:r>
                      <w:rPr>
                        <w:rFonts w:ascii="宋体" w:eastAsia="宋体" w:cs="宋体" w:hint="eastAsia"/>
                        <w:sz w:val="28"/>
                        <w:szCs w:val="28"/>
                      </w:rPr>
                      <w:instrText xml:space="preserve"> PAGE  \* MERGEFORMAT </w:instrText>
                    </w:r>
                    <w:r>
                      <w:rPr>
                        <w:rFonts w:ascii="宋体" w:eastAsia="宋体" w:cs="宋体" w:hint="eastAsia"/>
                        <w:sz w:val="28"/>
                        <w:szCs w:val="28"/>
                      </w:rPr>
                      <w:fldChar w:fldCharType="separate"/>
                    </w:r>
                    <w:r>
                      <w:rPr>
                        <w:rFonts w:ascii="宋体" w:eastAsia="宋体" w:cs="宋体" w:hint="eastAsia"/>
                        <w:sz w:val="28"/>
                        <w:szCs w:val="28"/>
                      </w:rPr>
                      <w:t>1</w:t>
                    </w:r>
                    <w:r>
                      <w:rPr>
                        <w:rFonts w:ascii="宋体" w:eastAsia="宋体" w:cs="宋体" w:hint="eastAsia"/>
                        <w:sz w:val="28"/>
                        <w:szCs w:val="28"/>
                      </w:rPr>
                      <w:fldChar w:fldCharType="end"/>
                    </w:r>
                    <w:r>
                      <w:rPr>
                        <w:rFonts w:ascii="宋体" w:eastAsia="宋体" w:cs="宋体" w:hint="eastAsia"/>
                        <w:sz w:val="28"/>
                        <w:szCs w:val="28"/>
                      </w:rPr>
                      <w:t xml:space="preserve"> —</w:t>
                    </w:r>
                  </w:p>
                </w:txbxContent>
              </v:textbox>
            </v:shape>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3EBB3C91"/>
    <w:multiLevelType w:val="multilevel"/>
    <w:tmpl w:val="3EBB3C91"/>
    <w:lvl w:ilvl="0">
      <w:start w:val="1"/>
      <w:numFmt w:val="chineseCountingThousand"/>
      <w:lvlRestart w:val="0"/>
      <w:suff w:val="space"/>
      <w:lvlText w:val="%1. "/>
      <w:lvlJc w:val="left"/>
      <w:pPr>
        <w:ind w:left="907" w:hanging="907"/>
      </w:pPr>
      <w:rPr>
        <w:rFonts w:hint="eastAsia"/>
      </w:rPr>
    </w:lvl>
    <w:lvl w:ilvl="1">
      <w:start w:val="1"/>
      <w:numFmt w:val="decimal"/>
      <w:isLgl/>
      <w:suff w:val="space"/>
      <w:lvlText w:val="%1.%2 "/>
      <w:lvlJc w:val="left"/>
      <w:pPr>
        <w:ind w:left="794" w:hanging="794"/>
      </w:pPr>
    </w:lvl>
    <w:lvl w:ilvl="2">
      <w:start w:val="0"/>
      <w:numFmt w:val="none"/>
      <w:lvlJc w:val="left"/>
      <w:pPr>
        <w:ind w:left="0" w:hanging="0"/>
      </w:pPr>
      <w:rPr>
        <w:rFonts w:cs="Times New Roman"/>
      </w:rPr>
    </w:lvl>
    <w:lvl w:ilvl="3">
      <w:start w:val="0"/>
      <w:numFmt w:val="none"/>
      <w:lvlJc w:val="left"/>
      <w:pPr>
        <w:ind w:left="0" w:hanging="0"/>
      </w:pPr>
      <w:rPr>
        <w:rFonts w:cs="Times New Roman"/>
      </w:rPr>
    </w:lvl>
    <w:lvl w:ilvl="4">
      <w:start w:val="0"/>
      <w:numFmt w:val="decimal"/>
      <w:pStyle w:val="25"/>
      <w:lvlJc w:val="left"/>
      <w:pPr>
        <w:ind w:left="0" w:hanging="0"/>
      </w:pPr>
      <w:rPr>
        <w:rFonts w:cs="Times New Roman"/>
      </w:rPr>
    </w:lvl>
    <w:lvl w:ilvl="5">
      <w:start w:val="0"/>
      <w:numFmt w:val="decimal"/>
      <w:lvlJc w:val="left"/>
      <w:pPr>
        <w:ind w:left="0" w:hanging="0"/>
      </w:pPr>
      <w:rPr>
        <w:rFonts w:cs="Times New Roman"/>
      </w:rPr>
    </w:lvl>
    <w:lvl w:ilvl="6">
      <w:start w:val="0"/>
      <w:numFmt w:val="decimal"/>
      <w:lvlJc w:val="left"/>
      <w:pPr>
        <w:ind w:left="0" w:hanging="0"/>
      </w:pPr>
      <w:rPr>
        <w:rFonts w:cs="Times New Roman"/>
      </w:rPr>
    </w:lvl>
    <w:lvl w:ilvl="7">
      <w:start w:val="0"/>
      <w:numFmt w:val="decimal"/>
      <w:lvlJc w:val="left"/>
      <w:pPr>
        <w:ind w:left="0" w:hanging="0"/>
      </w:pPr>
      <w:rPr>
        <w:rFonts w:cs="Times New Roman"/>
      </w:rPr>
    </w:lvl>
    <w:lvl w:ilvl="8">
      <w:start w:val="0"/>
      <w:numFmt w:val="decimal"/>
      <w:lvlJc w:val="left"/>
      <w:pPr>
        <w:ind w:left="0" w:hanging="0"/>
      </w:pPr>
      <w:rPr>
        <w:rFonts w:cs="Times New Roman"/>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bordersDoNotSurroundHeader w:val="0"/>
  <w:bordersDoNotSurroundFooter w:val="0"/>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doNotUseIndentAsNumberingTabStop/>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1"/>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Arial" w:eastAsia="黑体" w:cs="Arial" w:hAnsi="Arial"/>
      <w:b/>
      <w:bCs/>
      <w:sz w:val="32"/>
      <w:szCs w:val="32"/>
    </w:rPr>
  </w:style>
  <w:style w:type="paragraph" w:styleId="3">
    <w:name w:val="heading 3"/>
    <w:basedOn w:val="0"/>
    <w:next w:val="0"/>
    <w:pPr>
      <w:keepNext/>
      <w:keepLines/>
      <w:widowControl w:val="0"/>
      <w:spacing w:before="260" w:after="260" w:line="415" w:lineRule="auto"/>
      <w:outlineLvl w:val="2"/>
    </w:pPr>
    <w:rPr>
      <w:rFonts w:ascii="Times New Roman" w:hAnsi="Times New Roman"/>
      <w:b/>
      <w:bCs/>
      <w:kern w:val="2"/>
      <w:sz w:val="32"/>
      <w:szCs w:val="32"/>
    </w:rPr>
  </w:style>
  <w:style w:type="paragraph" w:styleId="4">
    <w:name w:val="heading 4"/>
    <w:basedOn w:val="0"/>
    <w:next w:val="0"/>
    <w:pPr>
      <w:keepNext/>
      <w:keepLines/>
      <w:widowControl w:val="0"/>
      <w:spacing w:before="280" w:after="290" w:line="372" w:lineRule="auto"/>
      <w:ind w:firstLineChars="200" w:firstLine="200"/>
      <w:outlineLvl w:val="3"/>
    </w:pPr>
    <w:rPr>
      <w:rFonts w:ascii="Arial" w:eastAsia="黑体" w:hAnsi="Arial"/>
      <w:b/>
      <w:kern w:val="2"/>
      <w:sz w:val="24"/>
      <w:szCs w:val="24"/>
    </w:rPr>
  </w:style>
  <w:style w:type="character" w:default="1" w:styleId="10">
    <w:name w:val="Default Paragraph Font"/>
  </w:style>
  <w:style w:type="paragraph" w:styleId="15">
    <w:name w:val="Normal Indent"/>
    <w:basedOn w:val="0"/>
    <w:pPr>
      <w:ind w:firstLineChars="200" w:firstLine="200"/>
    </w:pPr>
    <w:rPr>
      <w:rFonts w:ascii="Times New Roman" w:hAnsi="Times New Roman"/>
      <w:kern w:val="2"/>
      <w:sz w:val="21"/>
      <w:szCs w:val="24"/>
    </w:rPr>
  </w:style>
  <w:style w:type="paragraph" w:styleId="16">
    <w:name w:val="Body Text"/>
    <w:basedOn w:val="0"/>
    <w:next w:val="18"/>
    <w:pPr>
      <w:widowControl/>
      <w:spacing w:after="120"/>
      <w:jc w:val="left"/>
    </w:pPr>
    <w:rPr>
      <w:rFonts w:ascii="Calibri" w:hAnsi="Calibri"/>
      <w:sz w:val="24"/>
      <w:szCs w:val="24"/>
    </w:rPr>
  </w:style>
  <w:style w:type="paragraph" w:styleId="17">
    <w:name w:val="Body Text Indent"/>
    <w:basedOn w:val="0"/>
    <w:next w:val="18"/>
    <w:pPr>
      <w:ind w:firstLine="360"/>
    </w:pPr>
    <w:rPr>
      <w:rFonts w:ascii="Times New Roman" w:eastAsia="宋体" w:cs="Times New Roman" w:hAnsi="Times New Roman"/>
      <w:kern w:val="0"/>
      <w:sz w:val="20"/>
      <w:szCs w:val="20"/>
    </w:rPr>
  </w:style>
  <w:style w:type="paragraph" w:styleId="18">
    <w:name w:val="Body Text First Indent 2"/>
    <w:basedOn w:val="17"/>
    <w:next w:val="0"/>
    <w:pPr>
      <w:spacing w:line="360" w:lineRule="auto"/>
      <w:ind w:firstLineChars="200" w:firstLine="200"/>
    </w:pPr>
  </w:style>
  <w:style w:type="paragraph" w:styleId="19">
    <w:name w:val="List 2"/>
    <w:basedOn w:val="0"/>
    <w:pPr>
      <w:spacing w:line="360" w:lineRule="auto"/>
      <w:ind w:leftChars="200" w:left="400" w:hangingChars="200" w:hanging="200"/>
    </w:pPr>
    <w:rPr>
      <w:rFonts w:ascii="宋体"/>
      <w:kern w:val="0"/>
      <w:sz w:val="34"/>
      <w:szCs w:val="20"/>
    </w:rPr>
  </w:style>
  <w:style w:type="paragraph" w:styleId="20">
    <w:name w:val="Plain Text"/>
    <w:basedOn w:val="0"/>
    <w:rPr>
      <w:rFonts w:ascii="宋体" w:eastAsia="宋体" w:cs="Arial"/>
      <w:szCs w:val="22"/>
    </w:rPr>
  </w:style>
  <w:style w:type="paragraph" w:styleId="21">
    <w:name w:val="footer"/>
    <w:basedOn w:val="0"/>
    <w:pPr>
      <w:tabs>
        <w:tab w:val="center" w:pos="4153"/>
        <w:tab w:val="right" w:pos="8306"/>
      </w:tabs>
      <w:snapToGrid w:val="0"/>
      <w:jc w:val="left"/>
    </w:pPr>
    <w:rPr>
      <w:sz w:val="18"/>
      <w:szCs w:val="18"/>
    </w:rPr>
  </w:style>
  <w:style w:type="paragraph" w:styleId="22">
    <w:name w:val="header"/>
    <w:basedOn w:val="0"/>
    <w:pPr>
      <w:tabs>
        <w:tab w:val="center" w:pos="4153"/>
        <w:tab w:val="right" w:pos="8306"/>
      </w:tabs>
      <w:spacing w:line="240" w:lineRule="auto"/>
      <w:ind w:firstLine="0"/>
      <w:jc w:val="center"/>
    </w:pPr>
    <w:rPr>
      <w:rFonts w:ascii="等线" w:eastAsia="等线" w:cs="Times New Roman"/>
      <w:sz w:val="18"/>
      <w:szCs w:val="18"/>
    </w:rPr>
  </w:style>
  <w:style w:type="paragraph" w:styleId="23">
    <w:name w:val="Subtitle"/>
    <w:basedOn w:val="0"/>
    <w:next w:val="0"/>
    <w:pPr>
      <w:spacing w:before="240" w:after="60" w:line="312" w:lineRule="auto"/>
      <w:ind w:leftChars="200" w:left="200" w:firstLineChars="200" w:firstLine="200"/>
      <w:jc w:val="center"/>
      <w:outlineLvl w:val="1"/>
    </w:pPr>
    <w:rPr>
      <w:b/>
      <w:bCs/>
      <w:kern w:val="28"/>
      <w:sz w:val="20"/>
      <w:szCs w:val="32"/>
    </w:rPr>
  </w:style>
  <w:style w:type="character" w:styleId="24">
    <w:name w:val="Hyperlink"/>
    <w:basedOn w:val="10"/>
    <w:rPr>
      <w:color w:val="0000FF"/>
      <w:u w:val="single"/>
    </w:rPr>
  </w:style>
  <w:style w:type="paragraph" w:customStyle="1" w:styleId="25">
    <w:name w:val="标题 5（有编号）（绿盟科技）"/>
    <w:basedOn w:val="0"/>
    <w:next w:val="26"/>
    <w:pPr>
      <w:keepNext/>
      <w:keepLines/>
      <w:widowControl w:val="0"/>
      <w:numPr>
        <w:ilvl w:val="4"/>
        <w:numId w:val="1"/>
      </w:numPr>
      <w:spacing w:before="280" w:after="156" w:line="377" w:lineRule="auto"/>
      <w:jc w:val="left"/>
      <w:outlineLvl w:val="4"/>
    </w:pPr>
    <w:rPr>
      <w:rFonts w:ascii="Arial" w:eastAsia="黑体" w:cs="黑体" w:hAnsi="Arial"/>
      <w:b/>
      <w:kern w:val="0"/>
      <w:sz w:val="24"/>
      <w:szCs w:val="28"/>
    </w:rPr>
  </w:style>
  <w:style w:type="paragraph" w:customStyle="1" w:styleId="26">
    <w:name w:val="正文（绿盟科技）"/>
    <w:pPr>
      <w:spacing w:line="300" w:lineRule="auto"/>
    </w:pPr>
    <w:rPr>
      <w:rFonts w:ascii="Arial" w:eastAsia="宋体" w:cs="黑体" w:hAnsi="Arial"/>
      <w:sz w:val="21"/>
      <w:szCs w:val="21"/>
      <w:lang w:val="en-US" w:eastAsia="zh-CN" w:bidi="ar-SA"/>
    </w:rPr>
  </w:style>
  <w:style w:type="paragraph" w:customStyle="1" w:styleId="27">
    <w:name w:val="List Paragraph"/>
    <w:basedOn w:val="0"/>
    <w:pPr>
      <w:ind w:firstLineChars="200" w:firstLine="200"/>
    </w:pPr>
  </w:style>
  <w:style w:type="paragraph" w:customStyle="1" w:styleId="28">
    <w:name w:val="样式"/>
    <w:pPr>
      <w:widowControl w:val="0"/>
      <w:autoSpaceDE w:val="0"/>
      <w:autoSpaceDN w:val="0"/>
      <w:adjustRightInd w:val="0"/>
    </w:pPr>
    <w:rPr>
      <w:rFonts w:ascii="宋体" w:eastAsia="宋体" w:cs="宋体"/>
      <w:sz w:val="24"/>
      <w:szCs w:val="24"/>
      <w:lang w:val="en-US" w:eastAsia="zh-CN" w:bidi="ar-SA"/>
    </w:rPr>
  </w:style>
  <w:style w:type="paragraph" w:customStyle="1" w:styleId="29">
    <w:name w:val="正文首行缩进两字符"/>
    <w:basedOn w:val="0"/>
    <w:pPr>
      <w:spacing w:line="360" w:lineRule="auto"/>
      <w:ind w:firstLineChars="200" w:firstLine="200"/>
    </w:pPr>
    <w:rPr>
      <w:rFonts w:ascii="Calibri" w:hAnsi="Calibri"/>
      <w:kern w:val="2"/>
      <w:sz w:val="21"/>
      <w:szCs w:val="24"/>
    </w:rPr>
  </w:style>
  <w:style w:type="paragraph" w:customStyle="1" w:styleId="30">
    <w:name w:val="01、普通正文"/>
    <w:basedOn w:val="0"/>
    <w:pPr>
      <w:tabs>
        <w:tab w:val="left" w:pos="0"/>
      </w:tabs>
      <w:wordWrap w:val="0"/>
      <w:topLinePunct/>
      <w:ind w:firstLine="0"/>
    </w:pPr>
    <w:rPr>
      <w:rFonts w:ascii="宋体" w:eastAsia="宋体"/>
      <w:snapToGrid w:val="0"/>
    </w:rPr>
  </w:style>
  <w:style w:type="character" w:customStyle="1" w:styleId="31">
    <w:name w:val="font201"/>
    <w:basedOn w:val="10"/>
    <w:rPr>
      <w:rFonts w:ascii="宋体" w:eastAsia="宋体" w:cs="宋体"/>
      <w:b/>
      <w:bCs/>
      <w:color w:val="FF0000"/>
      <w:sz w:val="28"/>
      <w:szCs w:val="28"/>
      <w:u w:val="none"/>
    </w:rPr>
  </w:style>
  <w:style w:type="character" w:customStyle="1" w:styleId="32">
    <w:name w:val="font21"/>
    <w:basedOn w:val="10"/>
    <w:rPr>
      <w:rFonts w:ascii="宋体" w:eastAsia="宋体" w:cs="宋体"/>
      <w:b/>
      <w:bCs/>
      <w:color w:val="000000"/>
      <w:sz w:val="28"/>
      <w:szCs w:val="28"/>
      <w:u w:val="none"/>
    </w:rPr>
  </w:style>
  <w:style w:type="character" w:customStyle="1" w:styleId="33">
    <w:name w:val="font31"/>
    <w:basedOn w:val="10"/>
    <w:rPr>
      <w:rFonts w:ascii="仿宋_GB2312" w:eastAsia="仿宋_GB2312" w:cs="仿宋_GB2312"/>
      <w:b/>
      <w:bCs/>
      <w:color w:val="000000"/>
      <w:sz w:val="28"/>
      <w:szCs w:val="28"/>
      <w:u w:val="none"/>
    </w:rPr>
  </w:style>
  <w:style w:type="character" w:customStyle="1" w:styleId="34">
    <w:name w:val="font221"/>
    <w:basedOn w:val="10"/>
    <w:rPr>
      <w:rFonts w:ascii="仿宋_GB2312" w:eastAsia="仿宋_GB2312" w:cs="仿宋_GB2312"/>
      <w:b/>
      <w:bCs/>
      <w:color w:val="FF0000"/>
      <w:sz w:val="28"/>
      <w:szCs w:val="28"/>
      <w:u w:val="none"/>
    </w:rPr>
  </w:style>
  <w:style w:type="character" w:customStyle="1" w:styleId="35">
    <w:name w:val="font71"/>
    <w:basedOn w:val="10"/>
    <w:rPr>
      <w:rFonts w:ascii="宋体" w:eastAsia="宋体" w:cs="宋体"/>
      <w:color w:val="000000"/>
      <w:sz w:val="18"/>
      <w:szCs w:val="18"/>
      <w:u w:val="none"/>
    </w:rPr>
  </w:style>
  <w:style w:type="character" w:customStyle="1" w:styleId="36">
    <w:name w:val="font11"/>
    <w:basedOn w:val="10"/>
    <w:rPr>
      <w:rFonts w:ascii="宋体" w:eastAsia="宋体" w:cs="宋体"/>
      <w:color w:val="000000"/>
      <w:sz w:val="22"/>
      <w:szCs w:val="22"/>
      <w:u w:val="none"/>
    </w:rPr>
  </w:style>
  <w:style w:type="character" w:customStyle="1" w:styleId="37">
    <w:name w:val="font81"/>
    <w:basedOn w:val="10"/>
    <w:rPr>
      <w:rFonts w:ascii="Times New Roman" w:cs="Times New Roman" w:hAnsi="Times New Roman"/>
      <w:color w:val="000000"/>
      <w:sz w:val="22"/>
      <w:szCs w:val="22"/>
      <w:u w:val="none"/>
    </w:rPr>
  </w:style>
  <w:style w:type="character" w:customStyle="1" w:styleId="38">
    <w:name w:val="font91"/>
    <w:basedOn w:val="10"/>
    <w:rPr>
      <w:rFonts w:ascii="Times New Roman" w:cs="Times New Roman" w:hAnsi="Times New Roman"/>
      <w:color w:val="000000"/>
      <w:sz w:val="22"/>
      <w:szCs w:val="22"/>
      <w:u w:val="none"/>
    </w:rPr>
  </w:style>
  <w:style w:type="character" w:customStyle="1" w:styleId="39">
    <w:name w:val="font231"/>
    <w:basedOn w:val="10"/>
    <w:rPr>
      <w:rFonts w:ascii="宋体" w:eastAsia="宋体" w:cs="宋体"/>
      <w:color w:val="000000"/>
      <w:sz w:val="22"/>
      <w:szCs w:val="22"/>
      <w:u w:val="none"/>
    </w:rPr>
  </w:style>
  <w:style w:type="character" w:customStyle="1" w:styleId="40">
    <w:name w:val="font101"/>
    <w:basedOn w:val="10"/>
    <w:rPr>
      <w:rFonts w:ascii="Times New Roman" w:cs="Times New Roman" w:hAnsi="Times New Roman"/>
      <w:color w:val="000000"/>
      <w:sz w:val="24"/>
      <w:szCs w:val="24"/>
      <w:u w:val="none"/>
    </w:rPr>
  </w:style>
  <w:style w:type="character" w:customStyle="1" w:styleId="41">
    <w:name w:val="font131"/>
    <w:basedOn w:val="10"/>
    <w:rPr>
      <w:rFonts w:ascii="新宋体" w:eastAsia="新宋体" w:cs="新宋体"/>
      <w:color w:val="000000"/>
      <w:sz w:val="24"/>
      <w:szCs w:val="24"/>
      <w:u w:val="none"/>
    </w:rPr>
  </w:style>
  <w:style w:type="character" w:customStyle="1" w:styleId="42">
    <w:name w:val="font241"/>
    <w:basedOn w:val="10"/>
    <w:rPr>
      <w:rFonts w:ascii="宋体" w:eastAsia="宋体" w:cs="宋体"/>
      <w:color w:val="000000"/>
      <w:sz w:val="24"/>
      <w:szCs w:val="24"/>
      <w:u w:val="none"/>
    </w:rPr>
  </w:style>
  <w:style w:type="character" w:customStyle="1" w:styleId="43">
    <w:name w:val="font191"/>
    <w:basedOn w:val="10"/>
    <w:rPr>
      <w:rFonts w:ascii="宋体" w:eastAsia="宋体" w:cs="宋体"/>
      <w:b/>
      <w:bCs/>
      <w:color w:val="FF0000"/>
      <w:sz w:val="28"/>
      <w:szCs w:val="28"/>
      <w:u w:val="none"/>
    </w:rPr>
  </w:style>
  <w:style w:type="character" w:customStyle="1" w:styleId="44">
    <w:name w:val="font212"/>
    <w:basedOn w:val="10"/>
    <w:rPr>
      <w:rFonts w:ascii="仿宋_GB2312" w:eastAsia="仿宋_GB2312" w:cs="仿宋_GB2312"/>
      <w:b/>
      <w:bCs/>
      <w:color w:val="FF0000"/>
      <w:sz w:val="28"/>
      <w:szCs w:val="28"/>
      <w:u w:val="none"/>
    </w:rPr>
  </w:style>
  <w:style w:type="character" w:customStyle="1" w:styleId="45">
    <w:name w:val="font151"/>
    <w:basedOn w:val="10"/>
    <w:rPr>
      <w:rFonts w:ascii="宋体" w:eastAsia="宋体" w:cs="宋体"/>
      <w:color w:val="000000"/>
      <w:sz w:val="24"/>
      <w:szCs w:val="24"/>
      <w:u w:val="none"/>
    </w:rPr>
  </w:style>
  <w:style w:type="character" w:customStyle="1" w:styleId="46">
    <w:name w:val="font141"/>
    <w:basedOn w:val="10"/>
    <w:rPr>
      <w:rFonts w:ascii="新宋体" w:eastAsia="新宋体" w:cs="新宋体"/>
      <w:color w:val="000000"/>
      <w:sz w:val="24"/>
      <w:szCs w:val="24"/>
      <w:u w:val="none"/>
    </w:rPr>
  </w:style>
  <w:style w:type="character" w:customStyle="1" w:styleId="47">
    <w:name w:val="font251"/>
    <w:basedOn w:val="10"/>
    <w:rPr>
      <w:rFonts w:ascii="宋体" w:eastAsia="宋体" w:cs="宋体"/>
      <w:color w:val="FF0000"/>
      <w:sz w:val="24"/>
      <w:szCs w:val="24"/>
      <w:u w:val="none"/>
    </w:rPr>
  </w:style>
  <w:style w:type="character" w:customStyle="1" w:styleId="48">
    <w:name w:val="font261"/>
    <w:basedOn w:val="10"/>
    <w:rPr>
      <w:rFonts w:ascii="新宋体" w:eastAsia="新宋体" w:cs="新宋体"/>
      <w:color w:val="FF0000"/>
      <w:sz w:val="24"/>
      <w:szCs w:val="24"/>
      <w:u w:val="none"/>
    </w:rPr>
  </w:style>
  <w:style w:type="character" w:customStyle="1" w:styleId="49">
    <w:name w:val="font121"/>
    <w:basedOn w:val="10"/>
    <w:rPr>
      <w:rFonts w:ascii="宋体" w:eastAsia="宋体" w:cs="宋体"/>
      <w:b/>
      <w:bCs/>
      <w:color w:val="FF0000"/>
      <w:sz w:val="28"/>
      <w:szCs w:val="28"/>
      <w:u w:val="none"/>
    </w:rPr>
  </w:style>
  <w:style w:type="character" w:customStyle="1" w:styleId="50">
    <w:name w:val="font41"/>
    <w:basedOn w:val="10"/>
    <w:rPr>
      <w:rFonts w:ascii="宋体" w:eastAsia="宋体" w:cs="宋体"/>
      <w:color w:val="000000"/>
      <w:sz w:val="18"/>
      <w:szCs w:val="18"/>
      <w:u w:val="none"/>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numbering" Target="numbering.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2</TotalTime>
  <Application>Yozo_Office</Application>
  <Pages>58</Pages>
  <Words>24432</Words>
  <Characters>36932</Characters>
  <Lines>7217</Lines>
  <Paragraphs>4522</Paragraphs>
  <CharactersWithSpaces>37798</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张利蕾</cp:lastModifiedBy>
  <cp:revision>0</cp:revision>
  <cp:lastPrinted>2026-03-03T03:25:00Z</cp:lastPrinted>
  <dcterms:created xsi:type="dcterms:W3CDTF">2014-10-29T12:08:00Z</dcterms:created>
  <dcterms:modified xsi:type="dcterms:W3CDTF">2026-03-09T08:41:28Z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2052-12.1.0.25225</vt:lpwstr>
  </property>
  <property fmtid="{D5CDD505-2E9C-101B-9397-08002B2CF9AE}" pid="3" name="KSOTemplateDocerSaveRecord">
    <vt:lpwstr>eyJoZGlkIjoiZTc2YWYyMzA0Nzg0YTc4M2VmMTYwMTBiNjRiZTA2MzgiLCJ1c2VySWQiOiIyOTY1NjI1MTYifQ==</vt:lpwstr>
  </property>
  <property fmtid="{D5CDD505-2E9C-101B-9397-08002B2CF9AE}" pid="4" name="ICV">
    <vt:lpwstr>25277EB7AC364F7980406D3C72F291ED_13</vt:lpwstr>
  </property>
</Properties>
</file>