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hint="eastAsia"/>
          <w:sz w:val="32"/>
          <w:szCs w:val="32"/>
        </w:rPr>
      </w:pPr>
      <w:bookmarkStart w:id="0" w:name="_GoBack"/>
      <w:bookmarkEnd w:id="0"/>
      <w:r>
        <w:rPr>
          <w:rFonts w:ascii="方正黑体_GBK" w:eastAsia="方正黑体_GBK" w:hint="eastAsia"/>
          <w:sz w:val="32"/>
          <w:szCs w:val="32"/>
        </w:rPr>
        <w:t>附件：</w:t>
      </w:r>
    </w:p>
    <w:p>
      <w:pPr>
        <w:rPr>
          <w:rFonts w:ascii="方正仿宋_GBK" w:eastAsia="方正仿宋_GBK" w:hint="eastAsia"/>
          <w:sz w:val="32"/>
          <w:szCs w:val="32"/>
        </w:rPr>
      </w:pPr>
    </w:p>
    <w:p>
      <w:pPr>
        <w:ind w:firstLineChars="200" w:firstLine="852"/>
        <w:rPr>
          <w:rFonts w:ascii="方正仿宋_GBK" w:eastAsia="方正仿宋_GBK" w:hint="eastAsia"/>
          <w:sz w:val="32"/>
          <w:szCs w:val="32"/>
        </w:rPr>
      </w:pPr>
      <w:r>
        <w:rPr>
          <w:rFonts w:ascii="方正仿宋_GBK" w:eastAsia="方正仿宋_GBK" w:hint="eastAsia"/>
          <w:sz w:val="32"/>
          <w:szCs w:val="32"/>
        </w:rPr>
        <w:t>本技术要求旨在明确公务车管理系统模块的开发、部署及对接标准，确保系统满足各分支机构公务用车管理的业务需求，实现规范化、智能化、高效化的车辆管理目标。</w:t>
      </w:r>
    </w:p>
    <w:p>
      <w:pPr>
        <w:rPr>
          <w:rFonts w:ascii="方正仿宋_GBK" w:eastAsia="方正仿宋_GBK" w:hint="eastAsia"/>
          <w:sz w:val="32"/>
          <w:szCs w:val="32"/>
        </w:rPr>
      </w:pPr>
      <w:r>
        <w:rPr>
          <w:rFonts w:ascii="方正仿宋_GBK" w:eastAsia="方正仿宋_GBK" w:hint="eastAsia"/>
          <w:sz w:val="32"/>
          <w:szCs w:val="32"/>
        </w:rPr>
        <w:t>一、技术服务要求</w:t>
      </w:r>
    </w:p>
    <w:p>
      <w:pPr>
        <w:rPr>
          <w:rFonts w:ascii="方正仿宋_GBK" w:eastAsia="方正仿宋_GBK" w:hint="eastAsia"/>
          <w:sz w:val="32"/>
          <w:szCs w:val="32"/>
        </w:rPr>
      </w:pPr>
      <w:r>
        <w:rPr>
          <w:rFonts w:ascii="方正仿宋_GBK" w:eastAsia="方正仿宋_GBK" w:hint="eastAsia"/>
          <w:sz w:val="32"/>
          <w:szCs w:val="32"/>
        </w:rPr>
        <w:t>1.1核心功能需求</w:t>
      </w:r>
    </w:p>
    <w:p>
      <w:pPr>
        <w:rPr>
          <w:rFonts w:ascii="方正仿宋_GBK" w:eastAsia="方正仿宋_GBK" w:hint="eastAsia"/>
          <w:sz w:val="32"/>
          <w:szCs w:val="32"/>
        </w:rPr>
      </w:pPr>
      <w:r>
        <w:rPr>
          <w:rFonts w:ascii="方正仿宋_GBK" w:eastAsia="方正仿宋_GBK" w:hint="eastAsia"/>
          <w:sz w:val="32"/>
          <w:szCs w:val="32"/>
        </w:rPr>
        <w:t>1.1.1车辆基础信息管理</w:t>
      </w:r>
    </w:p>
    <w:p>
      <w:pPr>
        <w:rPr>
          <w:rFonts w:ascii="方正仿宋_GBK" w:eastAsia="方正仿宋_GBK" w:hint="eastAsia"/>
          <w:sz w:val="32"/>
          <w:szCs w:val="32"/>
        </w:rPr>
      </w:pPr>
      <w:r>
        <w:rPr>
          <w:rFonts w:ascii="方正仿宋_GBK" w:eastAsia="方正仿宋_GBK" w:hint="eastAsia"/>
          <w:sz w:val="32"/>
          <w:szCs w:val="32"/>
        </w:rPr>
        <w:t>1）台账建立：需建立全维度车辆基础信息台账，涵盖车辆型号、车牌号、VIN 码、发动机号、购置日期、车辆状态（空闲 / 占用 / 维修 / 报废）、归属分支机构、司机信息、年检日期、保险信息、维保记录等核心字段，支持信息的标准化录入。</w:t>
      </w:r>
    </w:p>
    <w:p>
      <w:pPr>
        <w:rPr>
          <w:rFonts w:ascii="方正仿宋_GBK" w:eastAsia="方正仿宋_GBK" w:hint="eastAsia"/>
          <w:sz w:val="32"/>
          <w:szCs w:val="32"/>
        </w:rPr>
      </w:pPr>
      <w:r>
        <w:rPr>
          <w:rFonts w:ascii="方正仿宋_GBK" w:eastAsia="方正仿宋_GBK" w:hint="eastAsia"/>
          <w:sz w:val="32"/>
          <w:szCs w:val="32"/>
        </w:rPr>
        <w:t>2）操作功能：支持车辆信息的新增、编辑、查询、删除及归档管理。查询功能需支持多条件组合检索，支持按车牌号、车辆状态、归属机构等维度快速筛选；删除操作需设置权限校验，避免误操作。</w:t>
      </w:r>
    </w:p>
    <w:p>
      <w:pPr>
        <w:rPr>
          <w:rFonts w:ascii="方正仿宋_GBK" w:eastAsia="方正仿宋_GBK" w:hint="eastAsia"/>
          <w:sz w:val="32"/>
          <w:szCs w:val="32"/>
        </w:rPr>
      </w:pPr>
      <w:r>
        <w:rPr>
          <w:rFonts w:ascii="方正仿宋_GBK" w:eastAsia="方正仿宋_GBK" w:hint="eastAsia"/>
          <w:sz w:val="32"/>
          <w:szCs w:val="32"/>
        </w:rPr>
        <w:t>3）归档管理：明确车辆归档触发条件，车辆达到报废年限、调出本单位或长期停用等情况需执行归档操作。归档后的车辆信息需单独存储，保留查询权限，不参与日常调度分配。</w:t>
      </w:r>
    </w:p>
    <w:p>
      <w:pPr>
        <w:rPr>
          <w:rFonts w:ascii="方正仿宋_GBK" w:eastAsia="方正仿宋_GBK" w:hint="eastAsia"/>
          <w:sz w:val="32"/>
          <w:szCs w:val="32"/>
        </w:rPr>
      </w:pPr>
      <w:r>
        <w:rPr>
          <w:rFonts w:ascii="方正仿宋_GBK" w:eastAsia="方正仿宋_GBK" w:hint="eastAsia"/>
          <w:sz w:val="32"/>
          <w:szCs w:val="32"/>
        </w:rPr>
        <w:t>1.1.2用车申请与审批</w:t>
      </w:r>
    </w:p>
    <w:p>
      <w:pPr>
        <w:rPr>
          <w:rFonts w:ascii="方正仿宋_GBK" w:eastAsia="方正仿宋_GBK" w:hint="eastAsia"/>
          <w:sz w:val="32"/>
          <w:szCs w:val="32"/>
        </w:rPr>
      </w:pPr>
      <w:r>
        <w:rPr>
          <w:rFonts w:ascii="方正仿宋_GBK" w:eastAsia="方正仿宋_GBK" w:hint="eastAsia"/>
          <w:sz w:val="32"/>
          <w:szCs w:val="32"/>
        </w:rPr>
        <w:t>1）▲申请提报：支持用车人在线提交用车申请，申请单需包含用车人信息、用车时间（出发时间、预计返程时间）、用车目的地、用车事由、随行人员数量、用车类型（公务出行 / 应急保障 / 接待任务等）、预计行驶里程等必填信息，支持附件上传功能，可按需上传任务通知等佐证材料。（提供类似系统截图并加盖公章）。</w:t>
      </w:r>
    </w:p>
    <w:p>
      <w:pPr>
        <w:rPr>
          <w:rFonts w:ascii="方正仿宋_GBK" w:eastAsia="方正仿宋_GBK" w:hint="eastAsia"/>
          <w:sz w:val="32"/>
          <w:szCs w:val="32"/>
        </w:rPr>
      </w:pPr>
      <w:r>
        <w:rPr>
          <w:rFonts w:ascii="方正仿宋_GBK" w:eastAsia="方正仿宋_GBK" w:hint="eastAsia"/>
          <w:sz w:val="32"/>
          <w:szCs w:val="32"/>
        </w:rPr>
        <w:t>2）▲审批流程配置：需配置灵活可自定义的审批流程，支持按分支机构、用车类型、用车级别、行驶里程等维度差异化设置审批节点。例如，跨区域长途用车需增加分支机构负责人审批环节，应急用车可启用快速审批通道。（提供类似系统截图并加盖公章）。</w:t>
      </w:r>
    </w:p>
    <w:p>
      <w:pPr>
        <w:rPr>
          <w:rFonts w:ascii="方正仿宋_GBK" w:eastAsia="方正仿宋_GBK" w:hint="eastAsia"/>
          <w:sz w:val="32"/>
          <w:szCs w:val="32"/>
        </w:rPr>
      </w:pPr>
      <w:r>
        <w:rPr>
          <w:rFonts w:ascii="方正仿宋_GBK" w:eastAsia="方正仿宋_GBK" w:hint="eastAsia"/>
          <w:sz w:val="32"/>
          <w:szCs w:val="32"/>
        </w:rPr>
        <w:t>3）流程流转管理：实现审批流程全线上流转，支持审批节点的自动推送与提醒功能。审批人可在线完成审批、驳回操作，驳回时需填写具体原因，便于用车人修改后重新提报。</w:t>
      </w:r>
    </w:p>
    <w:p>
      <w:pPr>
        <w:rPr>
          <w:rFonts w:ascii="方正仿宋_GBK" w:eastAsia="方正仿宋_GBK" w:hint="eastAsia"/>
          <w:sz w:val="32"/>
          <w:szCs w:val="32"/>
        </w:rPr>
      </w:pPr>
      <w:r>
        <w:rPr>
          <w:rFonts w:ascii="方正仿宋_GBK" w:eastAsia="方正仿宋_GBK" w:hint="eastAsia"/>
          <w:sz w:val="32"/>
          <w:szCs w:val="32"/>
        </w:rPr>
        <w:t>4）审批记录留存：系统需自动留存完整的审批记录，包括审批人、审批时间、审批意见、流程节点耗时等信息，支持审批轨迹追溯，满足审计核查要求。</w:t>
      </w:r>
    </w:p>
    <w:p>
      <w:pPr>
        <w:rPr>
          <w:rFonts w:ascii="方正仿宋_GBK" w:eastAsia="方正仿宋_GBK" w:hint="eastAsia"/>
          <w:sz w:val="32"/>
          <w:szCs w:val="32"/>
        </w:rPr>
      </w:pPr>
      <w:r>
        <w:rPr>
          <w:rFonts w:ascii="方正仿宋_GBK" w:eastAsia="方正仿宋_GBK" w:hint="eastAsia"/>
          <w:sz w:val="32"/>
          <w:szCs w:val="32"/>
        </w:rPr>
        <w:t>1.1.3调度分配</w:t>
      </w:r>
    </w:p>
    <w:p>
      <w:pPr>
        <w:rPr>
          <w:rFonts w:ascii="方正仿宋_GBK" w:eastAsia="方正仿宋_GBK" w:hint="eastAsia"/>
          <w:sz w:val="32"/>
          <w:szCs w:val="32"/>
        </w:rPr>
      </w:pPr>
      <w:r>
        <w:rPr>
          <w:rFonts w:ascii="方正仿宋_GBK" w:eastAsia="方正仿宋_GBK" w:hint="eastAsia"/>
          <w:sz w:val="32"/>
          <w:szCs w:val="32"/>
        </w:rPr>
        <w:t>1）调度依据：调度员可综合用车申请需求、车辆实时状态（空闲 / 占用）、车辆归属机构、司机排班情况、行驶里程等信息，进行科学合理的车辆调度分配。</w:t>
      </w:r>
    </w:p>
    <w:p>
      <w:pPr>
        <w:rPr>
          <w:rFonts w:ascii="方正仿宋_GBK" w:eastAsia="方正仿宋_GBK" w:hint="eastAsia"/>
          <w:sz w:val="32"/>
          <w:szCs w:val="32"/>
        </w:rPr>
      </w:pPr>
      <w:r>
        <w:rPr>
          <w:rFonts w:ascii="方正仿宋_GBK" w:eastAsia="方正仿宋_GBK" w:hint="eastAsia"/>
          <w:sz w:val="32"/>
          <w:szCs w:val="32"/>
        </w:rPr>
        <w:t>2）▲调度操作：支持手动调度与智能推荐调度两种模式。智能推荐模式需根据用车地点与时间，自动匹配最优车辆与司机；手动调度模式支持调度员灵活调整分配结果。</w:t>
      </w:r>
    </w:p>
    <w:p>
      <w:pPr>
        <w:rPr>
          <w:rFonts w:ascii="方正仿宋_GBK" w:eastAsia="方正仿宋_GBK" w:hint="eastAsia"/>
          <w:sz w:val="32"/>
          <w:szCs w:val="32"/>
        </w:rPr>
      </w:pPr>
      <w:r>
        <w:rPr>
          <w:rFonts w:ascii="方正仿宋_GBK" w:eastAsia="方正仿宋_GBK" w:hint="eastAsia"/>
          <w:sz w:val="32"/>
          <w:szCs w:val="32"/>
        </w:rPr>
        <w:t>3）▲冲突处理：建立调度冲突处理机制，明确紧急用车优先调度规则。当出现多份申请同时争抢同一车辆资源时，支持按申请优先级进行排序调度。</w:t>
      </w:r>
    </w:p>
    <w:p>
      <w:pPr>
        <w:rPr>
          <w:rFonts w:ascii="方正仿宋_GBK" w:eastAsia="方正仿宋_GBK" w:hint="eastAsia"/>
          <w:sz w:val="32"/>
          <w:szCs w:val="32"/>
        </w:rPr>
      </w:pPr>
      <w:r>
        <w:rPr>
          <w:rFonts w:ascii="方正仿宋_GBK" w:eastAsia="方正仿宋_GBK" w:hint="eastAsia"/>
          <w:sz w:val="32"/>
          <w:szCs w:val="32"/>
        </w:rPr>
        <w:t>4）调度结果同步：调度完成后需生成调度单，明确车辆信息、司机信息、用车行程等内容。支持调度单的打印、导出功能，同时留存调度记录，便于后续追溯核查。</w:t>
      </w:r>
    </w:p>
    <w:p>
      <w:pPr>
        <w:rPr>
          <w:rFonts w:ascii="方正仿宋_GBK" w:eastAsia="方正仿宋_GBK" w:hint="eastAsia"/>
          <w:sz w:val="32"/>
          <w:szCs w:val="32"/>
        </w:rPr>
      </w:pPr>
      <w:r>
        <w:rPr>
          <w:rFonts w:ascii="方正仿宋_GBK" w:eastAsia="方正仿宋_GBK" w:hint="eastAsia"/>
          <w:sz w:val="32"/>
          <w:szCs w:val="32"/>
        </w:rPr>
        <w:t>1.1.4报表生成</w:t>
      </w:r>
    </w:p>
    <w:p>
      <w:pPr>
        <w:rPr>
          <w:rFonts w:ascii="方正仿宋_GBK" w:eastAsia="方正仿宋_GBK" w:hint="eastAsia"/>
          <w:sz w:val="32"/>
          <w:szCs w:val="32"/>
        </w:rPr>
      </w:pPr>
      <w:r>
        <w:rPr>
          <w:rFonts w:ascii="方正仿宋_GBK" w:eastAsia="方正仿宋_GBK" w:hint="eastAsia"/>
          <w:sz w:val="32"/>
          <w:szCs w:val="32"/>
        </w:rPr>
        <w:t>1）▲模板自定义：支持用户根据业务需求自定义报表模板，可自由选择统计维度、数据字段、展示格式等内容。</w:t>
      </w:r>
    </w:p>
    <w:p>
      <w:pPr>
        <w:rPr>
          <w:rFonts w:ascii="方正仿宋_GBK" w:eastAsia="方正仿宋_GBK" w:hint="eastAsia"/>
          <w:sz w:val="32"/>
          <w:szCs w:val="32"/>
        </w:rPr>
      </w:pPr>
      <w:r>
        <w:rPr>
          <w:rFonts w:ascii="方正仿宋_GBK" w:eastAsia="方正仿宋_GBK" w:hint="eastAsia"/>
          <w:sz w:val="32"/>
          <w:szCs w:val="32"/>
        </w:rPr>
        <w:t>2）报表类型：系统需自动生成车辆使用报表、审批报表、调度报表、费用统计报表等核心报表。车辆使用报表需支持按时间段、分支机构、用车类型统计车辆使用频次与里程；审批报表需统计审批通过率、审批时效等数据。</w:t>
      </w:r>
    </w:p>
    <w:p>
      <w:pPr>
        <w:rPr>
          <w:rFonts w:ascii="方正仿宋_GBK" w:eastAsia="方正仿宋_GBK" w:hint="eastAsia"/>
          <w:sz w:val="32"/>
          <w:szCs w:val="32"/>
        </w:rPr>
      </w:pPr>
      <w:r>
        <w:rPr>
          <w:rFonts w:ascii="方正仿宋_GBK" w:eastAsia="方正仿宋_GBK" w:hint="eastAsia"/>
          <w:sz w:val="32"/>
          <w:szCs w:val="32"/>
        </w:rPr>
        <w:t>3）展示与输出：报表支持表格、柱状图、折线图、饼图等多种可视化展示方式，支持数据钻取功能，可从汇总数据下钻至明细数据。同时支持报表的导出、打印功能，导出格式需涵盖 Excel、PDF、Word 等常用格式。</w:t>
      </w:r>
    </w:p>
    <w:p>
      <w:pPr>
        <w:rPr>
          <w:rFonts w:ascii="方正仿宋_GBK" w:eastAsia="方正仿宋_GBK" w:hint="eastAsia"/>
          <w:sz w:val="32"/>
          <w:szCs w:val="32"/>
        </w:rPr>
      </w:pPr>
      <w:r>
        <w:rPr>
          <w:rFonts w:ascii="方正仿宋_GBK" w:eastAsia="方正仿宋_GBK" w:hint="eastAsia"/>
          <w:sz w:val="32"/>
          <w:szCs w:val="32"/>
        </w:rPr>
        <w:t>4）管理目标：满足日常统计分析、审计核查、汇报展示等多样化需求，为管理决策提供数据支撑。</w:t>
      </w:r>
    </w:p>
    <w:p>
      <w:pPr>
        <w:rPr>
          <w:rFonts w:ascii="方正仿宋_GBK" w:eastAsia="方正仿宋_GBK" w:hint="eastAsia"/>
          <w:sz w:val="32"/>
          <w:szCs w:val="32"/>
        </w:rPr>
      </w:pPr>
      <w:r>
        <w:rPr>
          <w:rFonts w:ascii="方正仿宋_GBK" w:eastAsia="方正仿宋_GBK" w:hint="eastAsia"/>
          <w:sz w:val="32"/>
          <w:szCs w:val="32"/>
        </w:rPr>
        <w:t>1.1.5权限管理</w:t>
      </w:r>
    </w:p>
    <w:p>
      <w:pPr>
        <w:rPr>
          <w:rFonts w:ascii="方正仿宋_GBK" w:eastAsia="方正仿宋_GBK" w:hint="eastAsia"/>
          <w:sz w:val="32"/>
          <w:szCs w:val="32"/>
        </w:rPr>
      </w:pPr>
      <w:r>
        <w:rPr>
          <w:rFonts w:ascii="方正仿宋_GBK" w:eastAsia="方正仿宋_GBK" w:hint="eastAsia"/>
          <w:sz w:val="32"/>
          <w:szCs w:val="32"/>
        </w:rPr>
        <w:t>1）角色划分：基于分支机构及业务场景，划分多类业务角色，包括总机构管理员、分支机构管理员、用车申请人、审批人、调度员等。</w:t>
      </w:r>
    </w:p>
    <w:p>
      <w:pPr>
        <w:rPr>
          <w:rFonts w:ascii="方正仿宋_GBK" w:eastAsia="方正仿宋_GBK" w:hint="eastAsia"/>
          <w:sz w:val="32"/>
          <w:szCs w:val="32"/>
        </w:rPr>
      </w:pPr>
      <w:r>
        <w:rPr>
          <w:rFonts w:ascii="方正仿宋_GBK" w:eastAsia="方正仿宋_GBK" w:hint="eastAsia"/>
          <w:sz w:val="32"/>
          <w:szCs w:val="32"/>
        </w:rPr>
        <w:t>2）▲权限配置：为不同角色配置差异化操作权限，总机构管理员拥有系统配置、角色分配、全量数据查看、审计监督等权限；分支机构管理员仅拥有本机构的权限配置、数据查看与管理权限；用车申请人仅拥有申请提报、进度查询权限；审批人拥有对应审批节点的审批权限；调度员拥有车辆状态管理、调度分配权限。</w:t>
      </w:r>
    </w:p>
    <w:p>
      <w:pPr>
        <w:rPr>
          <w:rFonts w:ascii="方正仿宋_GBK" w:eastAsia="方正仿宋_GBK" w:hint="eastAsia"/>
          <w:sz w:val="32"/>
          <w:szCs w:val="32"/>
        </w:rPr>
      </w:pPr>
      <w:r>
        <w:rPr>
          <w:rFonts w:ascii="方正仿宋_GBK" w:eastAsia="方正仿宋_GBK" w:hint="eastAsia"/>
          <w:sz w:val="32"/>
          <w:szCs w:val="32"/>
        </w:rPr>
        <w:t>3）▲数据隔离：确保各分支机构数据严格隔离，分支机构仅能查看和管理本机构的车辆信息、人员信息及相关业务记录；总机构及超级管理员可查看全量数据，实现对所有分支机构的统一监管。</w:t>
      </w:r>
    </w:p>
    <w:p>
      <w:pPr>
        <w:rPr>
          <w:rFonts w:ascii="方正仿宋_GBK" w:eastAsia="方正仿宋_GBK" w:hint="eastAsia"/>
          <w:sz w:val="32"/>
          <w:szCs w:val="32"/>
        </w:rPr>
      </w:pPr>
      <w:r>
        <w:rPr>
          <w:rFonts w:ascii="方正仿宋_GBK" w:eastAsia="方正仿宋_GBK" w:hint="eastAsia"/>
          <w:sz w:val="32"/>
          <w:szCs w:val="32"/>
        </w:rPr>
        <w:t>1.1.6嵌入原系统</w:t>
      </w:r>
    </w:p>
    <w:p>
      <w:pPr>
        <w:rPr>
          <w:rFonts w:ascii="方正仿宋_GBK" w:eastAsia="方正仿宋_GBK" w:hint="eastAsia"/>
          <w:sz w:val="32"/>
          <w:szCs w:val="32"/>
        </w:rPr>
      </w:pPr>
      <w:r>
        <w:rPr>
          <w:rFonts w:ascii="方正仿宋_GBK" w:eastAsia="方正仿宋_GBK" w:hint="eastAsia"/>
          <w:sz w:val="32"/>
          <w:szCs w:val="32"/>
        </w:rPr>
        <w:t>1）★开发要求：由于历史原因部份老旧系统没有源代码且系统接口文档丢失，开发过程中需要对原系统部分代码进行修改（需反编译后修改原系统，无原平台系统的接口文档和源代码），开发适配接口，将新系统 PC 端嵌入原智慧后勤系统中。（提供证明材料或承诺函并加盖公章）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 xml:space="preserve"> </w:t>
      </w:r>
    </w:p>
    <w:p>
      <w:pPr>
        <w:rPr>
          <w:rFonts w:ascii="方正仿宋_GBK" w:eastAsia="方正仿宋_GBK" w:hint="eastAsia"/>
          <w:sz w:val="32"/>
          <w:szCs w:val="32"/>
        </w:rPr>
      </w:pPr>
      <w:r>
        <w:rPr>
          <w:rFonts w:ascii="方正仿宋_GBK" w:eastAsia="方正仿宋_GBK" w:hint="eastAsia"/>
          <w:sz w:val="32"/>
          <w:szCs w:val="32"/>
        </w:rPr>
        <w:t>2）▲免登录实现：实现新系统与原系统的单点登录对接，用户登录原系统后，点击新系统入口可直接免登录进入，无需重复输入账号密码。（提供证明材料或承诺函并加盖公章）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3）▲界面融合：新系统 PC 端界面风格需与原系统保持一致，确保用户操作体验的连贯性与一致性。（提供证明材料或承诺函并加盖公章）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1.1.7数据对接</w:t>
      </w:r>
    </w:p>
    <w:p>
      <w:pPr>
        <w:rPr>
          <w:rFonts w:ascii="方正仿宋_GBK" w:eastAsia="方正仿宋_GBK" w:hint="eastAsia"/>
          <w:sz w:val="32"/>
          <w:szCs w:val="32"/>
        </w:rPr>
      </w:pPr>
      <w:r>
        <w:rPr>
          <w:rFonts w:ascii="方正仿宋_GBK" w:eastAsia="方正仿宋_GBK" w:hint="eastAsia"/>
          <w:sz w:val="32"/>
          <w:szCs w:val="32"/>
        </w:rPr>
        <w:t>1）▲对接对象：实现与海关现有统一身份认证系统的对接联动。（提供证明材料或承诺函并加盖公章）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2）▲对接功能：基于统一身份认证系统，实现身份信息同步与单点登录功能。用户登录原有统一身份认证系统后，可自动登录本系统，无需重复注册账号。（提供证明材料或承诺函并加盖公章）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3）▲技术要求：对接采用标准化协议，支持身份信息的实时同步，建立异常处理机制，当身份认证系统出现故障时，需提供备用登录方案，保障系统正常使用。（提供证明材料或承诺函并加盖公章）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1.1.8多端操作支持</w:t>
      </w:r>
    </w:p>
    <w:p>
      <w:pPr>
        <w:rPr>
          <w:rFonts w:ascii="方正仿宋_GBK" w:eastAsia="方正仿宋_GBK" w:hint="eastAsia"/>
          <w:sz w:val="32"/>
          <w:szCs w:val="32"/>
        </w:rPr>
      </w:pPr>
      <w:r>
        <w:rPr>
          <w:rFonts w:ascii="方正仿宋_GBK" w:eastAsia="方正仿宋_GBK" w:hint="eastAsia"/>
          <w:sz w:val="32"/>
          <w:szCs w:val="32"/>
        </w:rPr>
        <w:t>1）★部署适配</w:t>
      </w:r>
    </w:p>
    <w:p>
      <w:pPr>
        <w:rPr>
          <w:rFonts w:ascii="方正仿宋_GBK" w:eastAsia="方正仿宋_GBK" w:hint="eastAsia"/>
          <w:sz w:val="32"/>
          <w:szCs w:val="32"/>
        </w:rPr>
      </w:pPr>
      <w:r>
        <w:rPr>
          <w:rFonts w:ascii="方正仿宋_GBK" w:eastAsia="方正仿宋_GBK" w:hint="eastAsia"/>
          <w:sz w:val="32"/>
          <w:szCs w:val="32"/>
        </w:rPr>
        <w:t>新模块需嵌入原智慧后勤系统，支持 PC 端及手机端（支持安卓、鸿蒙系统）关信小程序（海关政务微信）端双向使用。</w:t>
      </w:r>
    </w:p>
    <w:p>
      <w:pPr>
        <w:rPr>
          <w:rFonts w:ascii="方正仿宋_GBK" w:eastAsia="方正仿宋_GBK" w:hint="eastAsia"/>
          <w:sz w:val="32"/>
          <w:szCs w:val="32"/>
        </w:rPr>
      </w:pPr>
      <w:r>
        <w:rPr>
          <w:rFonts w:ascii="方正仿宋_GBK" w:eastAsia="方正仿宋_GBK" w:hint="eastAsia"/>
          <w:sz w:val="32"/>
          <w:szCs w:val="32"/>
        </w:rPr>
        <w:t>两端操作数据需实现实时同步、完全一致，确保用户在 PC 端发起的申请，可在小程序端查看审批进度；在小程序端接收的调度通知，可在 PC 端进行详情查看。</w:t>
      </w:r>
    </w:p>
    <w:p>
      <w:pPr>
        <w:rPr>
          <w:rFonts w:ascii="方正仿宋_GBK" w:eastAsia="方正仿宋_GBK" w:hint="eastAsia"/>
          <w:sz w:val="32"/>
          <w:szCs w:val="32"/>
        </w:rPr>
      </w:pPr>
      <w:r>
        <w:rPr>
          <w:rFonts w:ascii="方正仿宋_GBK" w:eastAsia="方正仿宋_GBK" w:hint="eastAsia"/>
          <w:sz w:val="32"/>
          <w:szCs w:val="32"/>
        </w:rPr>
        <w:t>小程序端需重点适配调度通知、审批操作、申请提报等高频移动端操作场景，满足移动办公需求。（提供证明材料或承诺函并加盖公章）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2）★安全规范</w:t>
      </w:r>
    </w:p>
    <w:p>
      <w:pPr>
        <w:rPr>
          <w:rFonts w:ascii="方正仿宋_GBK" w:eastAsia="方正仿宋_GBK" w:hint="eastAsia"/>
          <w:sz w:val="32"/>
          <w:szCs w:val="32"/>
        </w:rPr>
      </w:pPr>
      <w:r>
        <w:rPr>
          <w:rFonts w:ascii="方正仿宋_GBK" w:eastAsia="方正仿宋_GBK" w:hint="eastAsia"/>
          <w:sz w:val="32"/>
          <w:szCs w:val="32"/>
        </w:rPr>
        <w:t>手机端关信小程序需严格遵循内网安全相关规范，内置完善的身份认证机制。</w:t>
      </w:r>
    </w:p>
    <w:p>
      <w:pPr>
        <w:rPr>
          <w:rFonts w:ascii="方正仿宋_GBK" w:eastAsia="方正仿宋_GBK" w:hint="eastAsia"/>
          <w:sz w:val="32"/>
          <w:szCs w:val="32"/>
        </w:rPr>
      </w:pPr>
      <w:r>
        <w:rPr>
          <w:rFonts w:ascii="方正仿宋_GBK" w:eastAsia="方正仿宋_GBK" w:hint="eastAsia"/>
          <w:sz w:val="32"/>
          <w:szCs w:val="32"/>
        </w:rPr>
        <w:t>适配统一账号登录、CA 认证等主流认证方式，支持登录密码复杂度校验、动态验证码登录等功能，保障系统访问安全及数据安全。（提供证明材料或承诺函并加盖公章）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1.2系统架构与国产适配需求</w:t>
      </w:r>
    </w:p>
    <w:p>
      <w:pPr>
        <w:rPr>
          <w:rFonts w:ascii="方正仿宋_GBK" w:eastAsia="方正仿宋_GBK" w:hint="eastAsia"/>
          <w:sz w:val="32"/>
          <w:szCs w:val="32"/>
        </w:rPr>
      </w:pPr>
      <w:r>
        <w:rPr>
          <w:rFonts w:ascii="方正仿宋_GBK" w:eastAsia="方正仿宋_GBK" w:hint="eastAsia"/>
          <w:sz w:val="32"/>
          <w:szCs w:val="32"/>
        </w:rPr>
        <w:t>1）▲核心组件适配：实现与国产生态核心组件的全面包括国产操作系统（麒麟、统信 UOS 等）、国产数据库（达梦、人大金仓、神通等）、国产中间件（东方通、金蝶天燕、中创等）。（提供证明材料或承诺函并加盖公章）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2）独立运行要求：新系统模块需在国产环境下独立稳定运行，与原系统无国产关联绑定。</w:t>
      </w:r>
    </w:p>
    <w:p>
      <w:pPr>
        <w:rPr>
          <w:rFonts w:ascii="方正仿宋_GBK" w:eastAsia="方正仿宋_GBK" w:hint="eastAsia"/>
          <w:sz w:val="32"/>
          <w:szCs w:val="32"/>
        </w:rPr>
      </w:pPr>
      <w:r>
        <w:rPr>
          <w:rFonts w:ascii="方正仿宋_GBK" w:eastAsia="方正仿宋_GBK" w:hint="eastAsia"/>
          <w:sz w:val="32"/>
          <w:szCs w:val="32"/>
        </w:rPr>
        <w:t>1.3数据与权限管理需求</w:t>
      </w:r>
    </w:p>
    <w:p>
      <w:pPr>
        <w:rPr>
          <w:rFonts w:ascii="方正仿宋_GBK" w:eastAsia="方正仿宋_GBK" w:hint="eastAsia"/>
          <w:sz w:val="32"/>
          <w:szCs w:val="32"/>
        </w:rPr>
      </w:pPr>
      <w:r>
        <w:rPr>
          <w:rFonts w:ascii="方正仿宋_GBK" w:eastAsia="方正仿宋_GBK" w:hint="eastAsia"/>
          <w:sz w:val="32"/>
          <w:szCs w:val="32"/>
        </w:rPr>
        <w:t>1）★账号与权限分级</w:t>
      </w:r>
    </w:p>
    <w:p>
      <w:pPr>
        <w:rPr>
          <w:rFonts w:ascii="方正仿宋_GBK" w:eastAsia="方正仿宋_GBK" w:hint="eastAsia"/>
          <w:sz w:val="32"/>
          <w:szCs w:val="32"/>
        </w:rPr>
      </w:pPr>
      <w:r>
        <w:rPr>
          <w:rFonts w:ascii="方正仿宋_GBK" w:eastAsia="方正仿宋_GBK" w:hint="eastAsia"/>
          <w:sz w:val="32"/>
          <w:szCs w:val="32"/>
        </w:rPr>
        <w:t>为每个分支机构创建独立的管理账号，基于业务场景划分分支机构管理员、用车申请人、审批人、调度员四类核心角色。</w:t>
      </w:r>
    </w:p>
    <w:p>
      <w:pPr>
        <w:rPr>
          <w:rFonts w:ascii="方正仿宋_GBK" w:eastAsia="方正仿宋_GBK" w:hint="eastAsia"/>
          <w:sz w:val="32"/>
          <w:szCs w:val="32"/>
        </w:rPr>
      </w:pPr>
      <w:r>
        <w:rPr>
          <w:rFonts w:ascii="方正仿宋_GBK" w:eastAsia="方正仿宋_GBK" w:hint="eastAsia"/>
          <w:sz w:val="32"/>
          <w:szCs w:val="32"/>
        </w:rPr>
        <w:t>明确各角色的操作权限范围，权限配置需支持精细化调整，可按需新增或删减角色权限。（提供证明材料或承诺函并加盖公章）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2）★数据严格隔离</w:t>
      </w:r>
    </w:p>
    <w:p>
      <w:pPr>
        <w:rPr>
          <w:rFonts w:ascii="方正仿宋_GBK" w:eastAsia="方正仿宋_GBK" w:hint="eastAsia"/>
          <w:sz w:val="32"/>
          <w:szCs w:val="32"/>
        </w:rPr>
      </w:pPr>
      <w:r>
        <w:rPr>
          <w:rFonts w:ascii="方正仿宋_GBK" w:eastAsia="方正仿宋_GBK" w:hint="eastAsia"/>
          <w:sz w:val="32"/>
          <w:szCs w:val="32"/>
        </w:rPr>
        <w:t>采用数据库分库分表、行级权限控制等技术手段，实现各分支机构数据的独立隔离。</w:t>
      </w:r>
    </w:p>
    <w:p>
      <w:pPr>
        <w:rPr>
          <w:rFonts w:ascii="方正仿宋_GBK" w:eastAsia="方正仿宋_GBK" w:hint="eastAsia"/>
          <w:sz w:val="32"/>
          <w:szCs w:val="32"/>
        </w:rPr>
      </w:pPr>
      <w:r>
        <w:rPr>
          <w:rFonts w:ascii="方正仿宋_GBK" w:eastAsia="方正仿宋_GBK" w:hint="eastAsia"/>
          <w:sz w:val="32"/>
          <w:szCs w:val="32"/>
        </w:rPr>
        <w:t>各分支机构仅能查看、管理本机构名下的车辆信息、人员信息及相关用车记录；总机构及 admin 超级管理员账号可查看全量数据，实现对所有分支机构的统一监管。（提供证明材料或承诺函并加盖公章）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3）★车辆归属绑定</w:t>
      </w:r>
    </w:p>
    <w:p>
      <w:pPr>
        <w:rPr>
          <w:rFonts w:ascii="方正仿宋_GBK" w:eastAsia="方正仿宋_GBK" w:hint="eastAsia"/>
          <w:sz w:val="32"/>
          <w:szCs w:val="32"/>
        </w:rPr>
      </w:pPr>
      <w:r>
        <w:rPr>
          <w:rFonts w:ascii="方正仿宋_GBK" w:eastAsia="方正仿宋_GBK" w:hint="eastAsia"/>
          <w:sz w:val="32"/>
          <w:szCs w:val="32"/>
        </w:rPr>
        <w:t>完成现有全部车辆信息与对应分支机构的关联绑定工作，明确各车辆的管理主体，确保车辆管理责任到人、归属清晰。</w:t>
      </w:r>
    </w:p>
    <w:p>
      <w:pPr>
        <w:rPr>
          <w:rFonts w:ascii="方正仿宋_GBK" w:eastAsia="方正仿宋_GBK" w:hint="eastAsia"/>
          <w:sz w:val="32"/>
          <w:szCs w:val="32"/>
        </w:rPr>
      </w:pPr>
      <w:r>
        <w:rPr>
          <w:rFonts w:ascii="方正仿宋_GBK" w:eastAsia="方正仿宋_GBK" w:hint="eastAsia"/>
          <w:sz w:val="32"/>
          <w:szCs w:val="32"/>
        </w:rPr>
        <w:t>支持车辆归属关系的调整，归属变更需走审批流程，留存变更记录，便于追溯。</w:t>
      </w:r>
    </w:p>
    <w:p>
      <w:pPr>
        <w:rPr>
          <w:rFonts w:ascii="方正仿宋_GBK" w:eastAsia="方正仿宋_GBK" w:hint="eastAsia"/>
          <w:sz w:val="32"/>
          <w:szCs w:val="32"/>
        </w:rPr>
      </w:pPr>
      <w:r>
        <w:rPr>
          <w:rFonts w:ascii="方正仿宋_GBK" w:eastAsia="方正仿宋_GBK" w:hint="eastAsia"/>
          <w:sz w:val="32"/>
          <w:szCs w:val="32"/>
        </w:rPr>
        <w:t>1.4外部系统对接需求</w:t>
      </w:r>
    </w:p>
    <w:p>
      <w:pPr>
        <w:rPr>
          <w:rFonts w:ascii="方正仿宋_GBK" w:eastAsia="方正仿宋_GBK" w:hint="eastAsia"/>
          <w:sz w:val="32"/>
          <w:szCs w:val="32"/>
        </w:rPr>
      </w:pPr>
      <w:r>
        <w:rPr>
          <w:rFonts w:ascii="方正仿宋_GBK" w:eastAsia="方正仿宋_GBK" w:hint="eastAsia"/>
          <w:sz w:val="32"/>
          <w:szCs w:val="32"/>
        </w:rPr>
        <w:t>1）★对接优先级：优先适配海关统一账号认证系统，实现与该系统的深度对接联动。（提供证明材料或承诺函并加盖公章）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2）▲对接内容</w:t>
      </w:r>
    </w:p>
    <w:p>
      <w:pPr>
        <w:rPr>
          <w:rFonts w:ascii="方正仿宋_GBK" w:eastAsia="方正仿宋_GBK" w:hint="eastAsia"/>
          <w:sz w:val="32"/>
          <w:szCs w:val="32"/>
        </w:rPr>
      </w:pPr>
      <w:r>
        <w:rPr>
          <w:rFonts w:ascii="方正仿宋_GBK" w:eastAsia="方正仿宋_GBK" w:hint="eastAsia"/>
          <w:sz w:val="32"/>
          <w:szCs w:val="32"/>
        </w:rPr>
        <w:t>实现统一身份认证功能，用户可通过账号认证系统的账号直接登录新公务车模块，无需重复注册账号，提升登录便捷性。</w:t>
      </w:r>
    </w:p>
    <w:p>
      <w:pPr>
        <w:rPr>
          <w:rFonts w:ascii="方正仿宋_GBK" w:eastAsia="方正仿宋_GBK" w:hint="eastAsia"/>
          <w:sz w:val="32"/>
          <w:szCs w:val="32"/>
        </w:rPr>
      </w:pPr>
      <w:r>
        <w:rPr>
          <w:rFonts w:ascii="方正仿宋_GBK" w:eastAsia="方正仿宋_GBK" w:hint="eastAsia"/>
          <w:sz w:val="32"/>
          <w:szCs w:val="32"/>
        </w:rPr>
        <w:t>实现用户身份信息的同步更新，当用户在账号认证系统中的信息发生变更时，新系统需自动同步更新，确保身份信息的一致性。（提供证明材料或承诺函并加盖公章）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3）▲对接规范</w:t>
      </w:r>
    </w:p>
    <w:p>
      <w:pPr>
        <w:rPr>
          <w:rFonts w:ascii="方正仿宋_GBK" w:eastAsia="方正仿宋_GBK" w:hint="eastAsia"/>
          <w:sz w:val="32"/>
          <w:szCs w:val="32"/>
        </w:rPr>
      </w:pPr>
      <w:r>
        <w:rPr>
          <w:rFonts w:ascii="方正仿宋_GBK" w:eastAsia="方正仿宋_GBK" w:hint="eastAsia"/>
          <w:sz w:val="32"/>
          <w:szCs w:val="32"/>
        </w:rPr>
        <w:t>对接需遵循标准化接口规范，提供完整的接口文档，明确接口参数、数据格式、调用方式等内容。</w:t>
      </w:r>
    </w:p>
    <w:p>
      <w:pPr>
        <w:rPr>
          <w:rFonts w:ascii="方正仿宋_GBK" w:eastAsia="方正仿宋_GBK" w:hint="eastAsia"/>
          <w:sz w:val="32"/>
          <w:szCs w:val="32"/>
        </w:rPr>
      </w:pPr>
      <w:r>
        <w:rPr>
          <w:rFonts w:ascii="方正仿宋_GBK" w:eastAsia="方正仿宋_GBK" w:hint="eastAsia"/>
          <w:sz w:val="32"/>
          <w:szCs w:val="32"/>
        </w:rPr>
        <w:t>建立对接测试机制，完成联调测试后出具测试报告，确保对接功能稳定可靠。（提供证明材料或承诺函并加盖公章）</w:t>
      </w:r>
    </w:p>
    <w:p>
      <w:pPr>
        <w:rPr>
          <w:rFonts w:ascii="方正仿宋_GBK" w:eastAsia="方正仿宋_GBK" w:hint="eastAsia"/>
          <w:sz w:val="32"/>
          <w:szCs w:val="32"/>
        </w:rPr>
      </w:pPr>
      <w:r>
        <w:rPr>
          <w:rFonts w:ascii="方正仿宋_GBK" w:eastAsia="方正仿宋_GBK" w:hint="eastAsia"/>
          <w:sz w:val="32"/>
          <w:szCs w:val="32"/>
        </w:rPr>
        <w:t>★1.5非功能需求</w:t>
      </w:r>
    </w:p>
    <w:p>
      <w:pPr>
        <w:rPr>
          <w:rFonts w:ascii="方正仿宋_GBK" w:eastAsia="方正仿宋_GBK" w:hint="eastAsia"/>
          <w:sz w:val="32"/>
          <w:szCs w:val="32"/>
        </w:rPr>
      </w:pPr>
      <w:r>
        <w:rPr>
          <w:rFonts w:ascii="方正仿宋_GBK" w:eastAsia="方正仿宋_GBK" w:hint="eastAsia"/>
          <w:sz w:val="32"/>
          <w:szCs w:val="32"/>
        </w:rPr>
        <w:t>1）安全合规</w:t>
      </w:r>
    </w:p>
    <w:p>
      <w:pPr>
        <w:rPr>
          <w:rFonts w:ascii="方正仿宋_GBK" w:eastAsia="方正仿宋_GBK" w:hint="eastAsia"/>
          <w:sz w:val="32"/>
          <w:szCs w:val="32"/>
        </w:rPr>
      </w:pPr>
      <w:r>
        <w:rPr>
          <w:rFonts w:ascii="方正仿宋_GBK" w:eastAsia="方正仿宋_GBK" w:hint="eastAsia"/>
          <w:sz w:val="32"/>
          <w:szCs w:val="32"/>
        </w:rPr>
        <w:t>符合内网安全相关规范要求，数据传输过程采用 TLS1.2 + 协议进行加密处理，数据存储采用国密算法进行加密，保障数据传输与存储安全。</w:t>
      </w:r>
    </w:p>
    <w:p>
      <w:pPr>
        <w:rPr>
          <w:rFonts w:ascii="方正仿宋_GBK" w:eastAsia="方正仿宋_GBK" w:hint="eastAsia"/>
          <w:sz w:val="32"/>
          <w:szCs w:val="32"/>
        </w:rPr>
      </w:pPr>
      <w:r>
        <w:rPr>
          <w:rFonts w:ascii="方正仿宋_GBK" w:eastAsia="方正仿宋_GBK" w:hint="eastAsia"/>
          <w:sz w:val="32"/>
          <w:szCs w:val="32"/>
        </w:rPr>
        <w:t>所有操作行为全程留痕，完整记录操作人、操作时间、操作内容、操作终端等信息，操作日志保存期限不少于 3 年，满足审计相关要求。</w:t>
      </w:r>
    </w:p>
    <w:p>
      <w:pPr>
        <w:rPr>
          <w:rFonts w:ascii="方正仿宋_GBK" w:eastAsia="方正仿宋_GBK" w:hint="eastAsia"/>
          <w:sz w:val="32"/>
          <w:szCs w:val="32"/>
        </w:rPr>
      </w:pPr>
      <w:r>
        <w:rPr>
          <w:rFonts w:ascii="方正仿宋_GBK" w:eastAsia="方正仿宋_GBK" w:hint="eastAsia"/>
          <w:sz w:val="32"/>
          <w:szCs w:val="32"/>
        </w:rPr>
        <w:t>建立完善的安全防护机制，防范 SQL 注入、跨站脚本攻击等常见网络攻击，定期开展安全漏洞扫描与修复工作。</w:t>
      </w:r>
    </w:p>
    <w:p>
      <w:pPr>
        <w:rPr>
          <w:rFonts w:ascii="方正仿宋_GBK" w:eastAsia="方正仿宋_GBK" w:hint="eastAsia"/>
          <w:sz w:val="32"/>
          <w:szCs w:val="32"/>
        </w:rPr>
      </w:pPr>
      <w:r>
        <w:rPr>
          <w:rFonts w:ascii="方正仿宋_GBK" w:eastAsia="方正仿宋_GBK" w:hint="eastAsia"/>
          <w:sz w:val="32"/>
          <w:szCs w:val="32"/>
        </w:rPr>
        <w:t>系统上线前，需通过海关总署做安全代码审计。</w:t>
      </w:r>
    </w:p>
    <w:p>
      <w:pPr>
        <w:rPr>
          <w:rFonts w:ascii="方正仿宋_GBK" w:eastAsia="方正仿宋_GBK" w:hint="eastAsia"/>
          <w:sz w:val="32"/>
          <w:szCs w:val="32"/>
        </w:rPr>
      </w:pPr>
      <w:r>
        <w:rPr>
          <w:rFonts w:ascii="方正仿宋_GBK" w:eastAsia="方正仿宋_GBK" w:hint="eastAsia"/>
          <w:sz w:val="32"/>
          <w:szCs w:val="32"/>
        </w:rPr>
        <w:t>2）信保要求</w:t>
      </w:r>
    </w:p>
    <w:p>
      <w:pPr>
        <w:rPr>
          <w:rFonts w:ascii="方正仿宋_GBK" w:eastAsia="方正仿宋_GBK" w:hint="eastAsia"/>
          <w:sz w:val="32"/>
          <w:szCs w:val="32"/>
        </w:rPr>
      </w:pPr>
      <w:r>
        <w:rPr>
          <w:rFonts w:ascii="方正仿宋_GBK" w:eastAsia="方正仿宋_GBK" w:hint="eastAsia"/>
          <w:sz w:val="32"/>
          <w:szCs w:val="32"/>
        </w:rPr>
        <w:t>符合信保相关规范要求，建立完善的信保防护机制，保障模块数据安全、运行安全，防范各类安全风险。</w:t>
      </w:r>
    </w:p>
    <w:p>
      <w:pPr>
        <w:rPr>
          <w:rFonts w:ascii="方正仿宋_GBK" w:eastAsia="方正仿宋_GBK" w:hint="eastAsia"/>
          <w:sz w:val="32"/>
          <w:szCs w:val="32"/>
        </w:rPr>
      </w:pPr>
      <w:r>
        <w:rPr>
          <w:rFonts w:ascii="方正仿宋_GBK" w:eastAsia="方正仿宋_GBK" w:hint="eastAsia"/>
          <w:sz w:val="32"/>
          <w:szCs w:val="32"/>
        </w:rPr>
        <w:t>需配合信保相关审核工作，提供必要的技术支撑材料与文档资料，确保信保合规达标，满足项目信保相关考核要求。</w:t>
      </w:r>
    </w:p>
    <w:p>
      <w:pPr>
        <w:rPr>
          <w:rFonts w:ascii="方正仿宋_GBK" w:eastAsia="方正仿宋_GBK" w:hint="eastAsia"/>
          <w:sz w:val="32"/>
          <w:szCs w:val="32"/>
        </w:rPr>
      </w:pPr>
      <w:r>
        <w:rPr>
          <w:rFonts w:ascii="方正仿宋_GBK" w:eastAsia="方正仿宋_GBK" w:hint="eastAsia"/>
          <w:sz w:val="32"/>
          <w:szCs w:val="32"/>
        </w:rPr>
        <w:t>定期开展信保风险评估与测评工作，及时发现并整改潜在安全隐患。</w:t>
      </w:r>
    </w:p>
    <w:p>
      <w:pPr>
        <w:rPr>
          <w:rFonts w:ascii="方正仿宋_GBK" w:eastAsia="方正仿宋_GBK" w:hint="eastAsia"/>
          <w:sz w:val="32"/>
          <w:szCs w:val="32"/>
        </w:rPr>
      </w:pPr>
      <w:r>
        <w:rPr>
          <w:rFonts w:ascii="方正仿宋_GBK" w:eastAsia="方正仿宋_GBK" w:hint="eastAsia"/>
          <w:sz w:val="32"/>
          <w:szCs w:val="32"/>
        </w:rPr>
        <w:t>3）开发语言</w:t>
      </w:r>
    </w:p>
    <w:p>
      <w:pPr>
        <w:rPr>
          <w:rFonts w:ascii="方正仿宋_GBK" w:eastAsia="方正仿宋_GBK" w:hint="eastAsia"/>
          <w:sz w:val="32"/>
          <w:szCs w:val="32"/>
        </w:rPr>
      </w:pPr>
      <w:r>
        <w:rPr>
          <w:rFonts w:ascii="方正仿宋_GBK" w:eastAsia="方正仿宋_GBK" w:hint="eastAsia"/>
          <w:sz w:val="32"/>
          <w:szCs w:val="32"/>
        </w:rPr>
        <w:t xml:space="preserve">1. 后端优先采用Java（Spring Boot/Spring Cloud），确保系统具备高并发、高可用、高稳定特性，满足项目业务承载与长期运行需求。 ​ </w:t>
      </w:r>
    </w:p>
    <w:p>
      <w:pPr>
        <w:rPr>
          <w:rFonts w:ascii="方正仿宋_GBK" w:eastAsia="方正仿宋_GBK" w:hint="eastAsia"/>
          <w:sz w:val="32"/>
          <w:szCs w:val="32"/>
        </w:rPr>
      </w:pPr>
      <w:r>
        <w:rPr>
          <w:rFonts w:ascii="方正仿宋_GBK" w:eastAsia="方正仿宋_GBK" w:hint="eastAsia"/>
          <w:sz w:val="32"/>
          <w:szCs w:val="32"/>
        </w:rPr>
        <w:t xml:space="preserve">2. 前端采用微信小程序原生框架开发，不允许使用跨平台编译框架，保证小程序运行性能、兼容性及体验符合微信官方规范。 ​ </w:t>
      </w:r>
    </w:p>
    <w:p>
      <w:pPr>
        <w:rPr>
          <w:rFonts w:ascii="方正仿宋_GBK" w:eastAsia="方正仿宋_GBK" w:hint="eastAsia"/>
          <w:sz w:val="32"/>
          <w:szCs w:val="32"/>
        </w:rPr>
      </w:pPr>
      <w:r>
        <w:rPr>
          <w:rFonts w:ascii="方正仿宋_GBK" w:eastAsia="方正仿宋_GBK" w:hint="eastAsia"/>
          <w:sz w:val="32"/>
          <w:szCs w:val="32"/>
        </w:rPr>
        <w:t>3. 服务端架构支持微服务/分布式架构，接口遵循RESTful或GraphQL规范设计，确保接口安全、标准、可扩展。</w:t>
      </w:r>
    </w:p>
    <w:p>
      <w:pPr>
        <w:rPr>
          <w:rFonts w:ascii="方正仿宋_GBK" w:eastAsia="方正仿宋_GBK" w:hint="eastAsia"/>
          <w:sz w:val="32"/>
          <w:szCs w:val="32"/>
        </w:rPr>
      </w:pPr>
      <w:r>
        <w:rPr>
          <w:rFonts w:ascii="方正仿宋_GBK" w:eastAsia="方正仿宋_GBK" w:hint="eastAsia"/>
          <w:sz w:val="32"/>
          <w:szCs w:val="32"/>
        </w:rPr>
        <w:t>4. 所有开发语言、运行环境、开发框架均须使用官方长期支持版（LTS），严禁使用已停止维护、存在安全风险或小众非主流技术。 ​</w:t>
      </w:r>
    </w:p>
    <w:p>
      <w:pPr>
        <w:rPr>
          <w:rFonts w:ascii="方正仿宋_GBK" w:eastAsia="方正仿宋_GBK" w:hint="eastAsia"/>
          <w:sz w:val="32"/>
          <w:szCs w:val="32"/>
        </w:rPr>
      </w:pPr>
      <w:r>
        <w:rPr>
          <w:rFonts w:ascii="方正仿宋_GBK" w:eastAsia="方正仿宋_GBK" w:hint="eastAsia"/>
          <w:sz w:val="32"/>
          <w:szCs w:val="32"/>
        </w:rPr>
        <w:t xml:space="preserve"> 5. 投标人须提供完整的技术选型说明，包含开发语言、框架版本、中间件、数据库、部署环境、安全组件等全套技术栈清单及选型理由。</w:t>
      </w:r>
    </w:p>
    <w:p>
      <w:pPr>
        <w:rPr>
          <w:rFonts w:ascii="方正仿宋_GBK" w:eastAsia="方正仿宋_GBK" w:hint="eastAsia"/>
          <w:sz w:val="32"/>
          <w:szCs w:val="32"/>
        </w:rPr>
      </w:pPr>
      <w:r>
        <w:rPr>
          <w:rFonts w:ascii="方正仿宋_GBK" w:eastAsia="方正仿宋_GBK" w:hint="eastAsia"/>
          <w:sz w:val="32"/>
          <w:szCs w:val="32"/>
        </w:rPr>
        <w:t>4）性能要求</w:t>
      </w:r>
    </w:p>
    <w:p>
      <w:pPr>
        <w:rPr>
          <w:rFonts w:ascii="方正仿宋_GBK" w:eastAsia="方正仿宋_GBK" w:hint="eastAsia"/>
          <w:sz w:val="32"/>
          <w:szCs w:val="32"/>
        </w:rPr>
      </w:pPr>
      <w:r>
        <w:rPr>
          <w:rFonts w:ascii="方正仿宋_GBK" w:eastAsia="方正仿宋_GBK" w:hint="eastAsia"/>
          <w:sz w:val="32"/>
          <w:szCs w:val="32"/>
        </w:rPr>
        <w:t>支持 20 个分支机构并发操作，同时在线用户数不少于 500 人，确保系统稳定运行。</w:t>
      </w:r>
    </w:p>
    <w:p>
      <w:pPr>
        <w:rPr>
          <w:rFonts w:ascii="方正仿宋_GBK" w:eastAsia="方正仿宋_GBK" w:hint="eastAsia"/>
          <w:sz w:val="32"/>
          <w:szCs w:val="32"/>
        </w:rPr>
      </w:pPr>
      <w:r>
        <w:rPr>
          <w:rFonts w:ascii="方正仿宋_GBK" w:eastAsia="方正仿宋_GBK" w:hint="eastAsia"/>
          <w:sz w:val="32"/>
          <w:szCs w:val="32"/>
        </w:rPr>
        <w:t>审批流程流转、数据同步、查询统计等核心操作的响应时间不超过 2 秒，无明显卡顿、延迟现象，满足日常办公高效开展需求。</w:t>
      </w:r>
    </w:p>
    <w:p>
      <w:pPr>
        <w:rPr>
          <w:rFonts w:ascii="方正仿宋_GBK" w:eastAsia="方正仿宋_GBK" w:hint="eastAsia"/>
          <w:sz w:val="32"/>
          <w:szCs w:val="32"/>
        </w:rPr>
      </w:pPr>
      <w:r>
        <w:rPr>
          <w:rFonts w:ascii="方正仿宋_GBK" w:eastAsia="方正仿宋_GBK" w:hint="eastAsia"/>
          <w:sz w:val="32"/>
          <w:szCs w:val="32"/>
        </w:rPr>
        <w:t>系统需支持 7×24 小时不间断运行，年平均无故障运行时间不低于 99.9%。</w:t>
      </w:r>
    </w:p>
    <w:p>
      <w:pPr>
        <w:rPr>
          <w:rFonts w:ascii="方正仿宋_GBK" w:eastAsia="方正仿宋_GBK" w:hint="eastAsia"/>
          <w:sz w:val="32"/>
          <w:szCs w:val="32"/>
        </w:rPr>
      </w:pPr>
      <w:r>
        <w:rPr>
          <w:rFonts w:ascii="方正仿宋_GBK" w:eastAsia="方正仿宋_GBK" w:hint="eastAsia"/>
          <w:sz w:val="32"/>
          <w:szCs w:val="32"/>
        </w:rPr>
        <w:t>5）可扩展性</w:t>
      </w:r>
    </w:p>
    <w:p>
      <w:pPr>
        <w:rPr>
          <w:rFonts w:ascii="方正仿宋_GBK" w:eastAsia="方正仿宋_GBK" w:hint="eastAsia"/>
          <w:sz w:val="32"/>
          <w:szCs w:val="32"/>
        </w:rPr>
      </w:pPr>
      <w:r>
        <w:rPr>
          <w:rFonts w:ascii="方正仿宋_GBK" w:eastAsia="方正仿宋_GBK" w:hint="eastAsia"/>
          <w:sz w:val="32"/>
          <w:szCs w:val="32"/>
        </w:rPr>
        <w:t>新模块架构设计需采用微服务架构，具备灵活性和可扩展性，便于后续根据业务需求新增功能模块，如车辆维保管理、用车费用统计、违章管理等。</w:t>
      </w:r>
    </w:p>
    <w:p>
      <w:pPr>
        <w:rPr>
          <w:rFonts w:ascii="方正仿宋_GBK" w:eastAsia="方正仿宋_GBK" w:hint="eastAsia"/>
          <w:sz w:val="32"/>
          <w:szCs w:val="32"/>
        </w:rPr>
      </w:pPr>
      <w:r>
        <w:rPr>
          <w:rFonts w:ascii="方正仿宋_GBK" w:eastAsia="方正仿宋_GBK" w:hint="eastAsia"/>
          <w:sz w:val="32"/>
          <w:szCs w:val="32"/>
        </w:rPr>
        <w:t>预留标准化接口，支持对接其他相关业务系统，降低后续升级改造成本，实现系统功能的平滑扩展。</w:t>
      </w:r>
    </w:p>
    <w:p>
      <w:pPr>
        <w:rPr>
          <w:rFonts w:ascii="方正仿宋_GBK" w:eastAsia="方正仿宋_GBK" w:hint="eastAsia"/>
          <w:sz w:val="32"/>
          <w:szCs w:val="32"/>
        </w:rPr>
      </w:pPr>
      <w:r>
        <w:rPr>
          <w:rFonts w:ascii="方正仿宋_GBK" w:eastAsia="方正仿宋_GBK" w:hint="eastAsia"/>
          <w:sz w:val="32"/>
          <w:szCs w:val="32"/>
        </w:rPr>
        <w:t>6）兼容性</w:t>
      </w:r>
    </w:p>
    <w:p>
      <w:pPr>
        <w:rPr>
          <w:rFonts w:ascii="方正仿宋_GBK" w:eastAsia="方正仿宋_GBK" w:hint="eastAsia"/>
          <w:sz w:val="32"/>
          <w:szCs w:val="32"/>
        </w:rPr>
      </w:pPr>
      <w:r>
        <w:rPr>
          <w:rFonts w:ascii="方正仿宋_GBK" w:eastAsia="方正仿宋_GBK" w:hint="eastAsia"/>
          <w:sz w:val="32"/>
          <w:szCs w:val="32"/>
        </w:rPr>
        <w:t>遵循海关统一开发架构、统一界面设计、数据架构等标准规范实施开发，确保新模块与原智慧后勤系统、关信小程序、海关统一账号认证系统的兼容性达标，无功能冲突、数据异常、接口调用失败等问题，实现各系统协同稳定运行。</w:t>
      </w:r>
    </w:p>
    <w:p>
      <w:pPr>
        <w:rPr>
          <w:rFonts w:ascii="方正仿宋_GBK" w:eastAsia="方正仿宋_GBK" w:hint="eastAsia"/>
          <w:sz w:val="32"/>
          <w:szCs w:val="32"/>
        </w:rPr>
      </w:pPr>
      <w:r>
        <w:rPr>
          <w:rFonts w:ascii="方正仿宋_GBK" w:eastAsia="方正仿宋_GBK" w:hint="eastAsia"/>
          <w:sz w:val="32"/>
          <w:szCs w:val="32"/>
        </w:rPr>
        <w:t>支持与不同版本的原系统进行适配，开发完成后，系统上线前提供兼容性测试报告，确保系统上线后不影响原系统的正常使用。</w:t>
      </w:r>
    </w:p>
    <w:p>
      <w:pPr>
        <w:rPr>
          <w:rFonts w:ascii="方正仿宋_GBK" w:eastAsia="方正仿宋_GBK" w:hint="eastAsia"/>
          <w:sz w:val="32"/>
          <w:szCs w:val="32"/>
        </w:rPr>
      </w:pPr>
      <w:r>
        <w:rPr>
          <w:rFonts w:ascii="方正仿宋_GBK" w:eastAsia="方正仿宋_GBK" w:hint="eastAsia"/>
          <w:sz w:val="32"/>
          <w:szCs w:val="32"/>
        </w:rPr>
        <w:t>（供应商针对上述要求提供承诺函并加盖公章）</w:t>
      </w:r>
    </w:p>
    <w:p>
      <w:pPr>
        <w:rPr>
          <w:rFonts w:ascii="方正仿宋_GBK" w:eastAsia="方正仿宋_GBK" w:hint="eastAsia"/>
          <w:sz w:val="32"/>
          <w:szCs w:val="32"/>
        </w:rPr>
      </w:pPr>
      <w:r>
        <w:rPr>
          <w:rFonts w:ascii="方正仿宋_GBK" w:eastAsia="方正仿宋_GBK" w:hint="eastAsia"/>
          <w:sz w:val="32"/>
          <w:szCs w:val="32"/>
        </w:rPr>
        <w:t>★二、商务要求及其他要求(实质性要求）</w:t>
      </w:r>
    </w:p>
    <w:p>
      <w:pPr>
        <w:rPr>
          <w:rFonts w:ascii="方正仿宋_GBK" w:eastAsia="方正仿宋_GBK" w:hint="eastAsia"/>
          <w:sz w:val="32"/>
          <w:szCs w:val="32"/>
        </w:rPr>
      </w:pPr>
      <w:r>
        <w:rPr>
          <w:rFonts w:ascii="方正仿宋_GBK" w:eastAsia="方正仿宋_GBK" w:hint="eastAsia"/>
          <w:sz w:val="32"/>
          <w:szCs w:val="32"/>
        </w:rPr>
        <w:t>1、服务期限：60个自然日内完成系统建设，并达到验收标准，同时交付运行。</w:t>
      </w:r>
    </w:p>
    <w:p>
      <w:pPr>
        <w:rPr>
          <w:rFonts w:ascii="方正仿宋_GBK" w:eastAsia="方正仿宋_GBK" w:hint="eastAsia"/>
          <w:sz w:val="32"/>
          <w:szCs w:val="32"/>
        </w:rPr>
      </w:pPr>
      <w:r>
        <w:rPr>
          <w:rFonts w:ascii="方正仿宋_GBK" w:eastAsia="方正仿宋_GBK" w:hint="eastAsia"/>
          <w:sz w:val="32"/>
          <w:szCs w:val="32"/>
        </w:rPr>
        <w:t>2、服务地点：四川省成都市武侯区天顺中街66号成都海关。</w:t>
      </w:r>
    </w:p>
    <w:p>
      <w:pPr>
        <w:rPr>
          <w:rFonts w:ascii="方正仿宋_GBK" w:eastAsia="方正仿宋_GBK" w:hint="eastAsia"/>
          <w:sz w:val="32"/>
          <w:szCs w:val="32"/>
        </w:rPr>
      </w:pPr>
      <w:r>
        <w:rPr>
          <w:rFonts w:ascii="方正仿宋_GBK" w:eastAsia="方正仿宋_GBK" w:hint="eastAsia"/>
          <w:sz w:val="32"/>
          <w:szCs w:val="32"/>
        </w:rPr>
        <w:t>3、运维服务期：24个月（自验收合格之日起计算）。</w:t>
      </w:r>
    </w:p>
    <w:p>
      <w:pPr>
        <w:rPr>
          <w:rFonts w:ascii="方正仿宋_GBK" w:eastAsia="方正仿宋_GBK" w:hint="eastAsia"/>
          <w:sz w:val="32"/>
          <w:szCs w:val="32"/>
        </w:rPr>
      </w:pPr>
      <w:r>
        <w:rPr>
          <w:rFonts w:ascii="方正仿宋_GBK" w:eastAsia="方正仿宋_GBK" w:hint="eastAsia"/>
          <w:sz w:val="32"/>
          <w:szCs w:val="32"/>
        </w:rPr>
        <w:t>4、付款方式：（1）项目验收合格后，采购人收到中选人出具的发票后10个工作日内，支付合同金额的70%。（2）运维服务满1年后，采购人收到中选人出具的发票后10个工作日内，支付合同金额的30%。</w:t>
      </w:r>
    </w:p>
    <w:p>
      <w:pPr>
        <w:rPr>
          <w:rFonts w:ascii="方正仿宋_GBK" w:eastAsia="方正仿宋_GBK" w:hint="eastAsia"/>
          <w:sz w:val="32"/>
          <w:szCs w:val="32"/>
        </w:rPr>
      </w:pPr>
      <w:r>
        <w:rPr>
          <w:rFonts w:ascii="方正仿宋_GBK" w:eastAsia="方正仿宋_GBK" w:hint="eastAsia"/>
          <w:sz w:val="32"/>
          <w:szCs w:val="32"/>
        </w:rPr>
        <w:t>5、验收标准：采购人参照《财政部关于进一步加强政府采购需求和履约验收管理的指导意见》(财库〔2016〕205号)的要求进行验收。</w:t>
      </w:r>
    </w:p>
    <w:p>
      <w:pPr>
        <w:rPr>
          <w:rFonts w:ascii="方正仿宋_GBK" w:eastAsia="方正仿宋_GBK" w:hint="eastAsia"/>
          <w:sz w:val="32"/>
          <w:szCs w:val="32"/>
        </w:rPr>
      </w:pPr>
      <w:r>
        <w:rPr>
          <w:rFonts w:ascii="方正仿宋_GBK" w:eastAsia="方正仿宋_GBK" w:hint="eastAsia"/>
          <w:sz w:val="32"/>
          <w:szCs w:val="32"/>
        </w:rPr>
        <w:t>6、售后服务：</w:t>
      </w:r>
    </w:p>
    <w:p>
      <w:pPr>
        <w:rPr>
          <w:rFonts w:ascii="方正仿宋_GBK" w:eastAsia="方正仿宋_GBK" w:hint="eastAsia"/>
          <w:sz w:val="32"/>
          <w:szCs w:val="32"/>
        </w:rPr>
      </w:pPr>
      <w:r>
        <w:rPr>
          <w:rFonts w:ascii="方正仿宋_GBK" w:eastAsia="方正仿宋_GBK" w:hint="eastAsia"/>
          <w:sz w:val="32"/>
          <w:szCs w:val="32"/>
        </w:rPr>
        <w:t>（1）供应商应对采购人提供培训，并在响应文件内明确系统维护的内容、响应周期、人员配备及工作流程。</w:t>
      </w:r>
    </w:p>
    <w:p>
      <w:pPr>
        <w:rPr>
          <w:rFonts w:ascii="方正仿宋_GBK" w:eastAsia="方正仿宋_GBK" w:hint="eastAsia"/>
          <w:sz w:val="32"/>
          <w:szCs w:val="32"/>
        </w:rPr>
      </w:pPr>
      <w:r>
        <w:rPr>
          <w:rFonts w:ascii="方正仿宋_GBK" w:eastAsia="方正仿宋_GBK" w:hint="eastAsia"/>
          <w:sz w:val="32"/>
          <w:szCs w:val="32"/>
        </w:rPr>
        <w:t>（2）在运维服务期内，因系统设计或质量原因导致系统无法使用或无法修复的，供应商应全权负责解决，并承担违约责任。所需的费用包括在比选总价中。</w:t>
      </w:r>
    </w:p>
    <w:p>
      <w:pPr>
        <w:rPr>
          <w:rFonts w:ascii="方正仿宋_GBK" w:eastAsia="方正仿宋_GBK" w:hint="eastAsia"/>
          <w:sz w:val="32"/>
          <w:szCs w:val="32"/>
        </w:rPr>
      </w:pPr>
      <w:r>
        <w:rPr>
          <w:rFonts w:ascii="方正仿宋_GBK" w:eastAsia="方正仿宋_GBK" w:hint="eastAsia"/>
          <w:sz w:val="32"/>
          <w:szCs w:val="32"/>
        </w:rPr>
        <w:t>（3）当发生系统瘫痪、数据丢失等重大故障，需在15分钟内响应并开始处理；当发生部分功能失效等一般故障，需在1小时内响应并开始处理；当需要操作咨询、优化建议等轻微问题，需在4小时内响应。提供7×24小时技术支持热线及制定对接人联系方式。</w:t>
      </w:r>
    </w:p>
    <w:p>
      <w:pPr>
        <w:rPr>
          <w:rFonts w:ascii="方正仿宋_GBK" w:eastAsia="方正仿宋_GBK" w:hint="eastAsia"/>
          <w:sz w:val="32"/>
          <w:szCs w:val="32"/>
        </w:rPr>
      </w:pPr>
      <w:r>
        <w:rPr>
          <w:rFonts w:ascii="方正仿宋_GBK" w:eastAsia="方正仿宋_GBK" w:hint="eastAsia"/>
          <w:sz w:val="32"/>
          <w:szCs w:val="32"/>
        </w:rPr>
        <w:t>7、违约责任</w:t>
      </w:r>
    </w:p>
    <w:p>
      <w:pPr>
        <w:rPr>
          <w:rFonts w:ascii="方正仿宋_GBK" w:eastAsia="方正仿宋_GBK" w:hint="eastAsia"/>
          <w:sz w:val="32"/>
          <w:szCs w:val="32"/>
        </w:rPr>
      </w:pPr>
      <w:r>
        <w:rPr>
          <w:rFonts w:ascii="方正仿宋_GBK" w:eastAsia="方正仿宋_GBK" w:hint="eastAsia"/>
          <w:sz w:val="32"/>
          <w:szCs w:val="32"/>
        </w:rPr>
        <w:t>（1）中选人必须遵守采购合同并执行合同中的各项规定，保证采购合同的正常履行。</w:t>
      </w:r>
    </w:p>
    <w:p>
      <w:pPr>
        <w:rPr>
          <w:rFonts w:ascii="方正仿宋_GBK" w:eastAsia="方正仿宋_GBK" w:hint="eastAsia"/>
          <w:sz w:val="32"/>
          <w:szCs w:val="32"/>
        </w:rPr>
      </w:pPr>
      <w:r>
        <w:rPr>
          <w:rFonts w:ascii="方正仿宋_GBK" w:eastAsia="方正仿宋_GBK" w:hint="eastAsia"/>
          <w:sz w:val="32"/>
          <w:szCs w:val="32"/>
        </w:rPr>
        <w:t>（2）如因中选人工作人员在履行职务过程中的疏忽、失职、过错等故意或者过失原因给采购人造成损失或侵害，包括但不限于采购人本身的财产损失、由此而导致的采购人对任何第三方的法律责任等，中选人对此均应承担全部责任。</w:t>
      </w:r>
    </w:p>
    <w:p>
      <w:pPr>
        <w:rPr>
          <w:rFonts w:ascii="方正仿宋_GBK" w:eastAsia="方正仿宋_GBK" w:hint="eastAsia"/>
          <w:sz w:val="32"/>
          <w:szCs w:val="32"/>
        </w:rPr>
      </w:pPr>
      <w:r>
        <w:rPr>
          <w:rFonts w:ascii="方正仿宋_GBK" w:eastAsia="方正仿宋_GBK" w:hint="eastAsia"/>
          <w:sz w:val="32"/>
          <w:szCs w:val="32"/>
        </w:rPr>
        <w:t>（3）中选人应当遵守采购人的相关项目需求及相关技术要求及实质性条款，实施完成采购合同应当完全满足相关项目需求及相关技术要求及实质性条款，若中选人瑕疵履行采购合同，采购人有权单方面无条件解除合同，并由中选人承担所有责任。</w:t>
      </w:r>
    </w:p>
    <w:p>
      <w:pPr>
        <w:rPr>
          <w:rFonts w:ascii="方正仿宋_GBK" w:eastAsia="方正仿宋_GBK" w:hint="eastAsia"/>
          <w:sz w:val="32"/>
          <w:szCs w:val="32"/>
        </w:rPr>
      </w:pPr>
      <w:r>
        <w:rPr>
          <w:rFonts w:ascii="方正仿宋_GBK" w:eastAsia="方正仿宋_GBK" w:hint="eastAsia"/>
          <w:sz w:val="32"/>
          <w:szCs w:val="32"/>
        </w:rPr>
        <w:t>8、有下列情形之一的，当事人可以解除合同：</w:t>
      </w:r>
    </w:p>
    <w:p>
      <w:pPr>
        <w:rPr>
          <w:rFonts w:ascii="方正仿宋_GBK" w:eastAsia="方正仿宋_GBK" w:hint="eastAsia"/>
          <w:sz w:val="32"/>
          <w:szCs w:val="32"/>
        </w:rPr>
      </w:pPr>
      <w:r>
        <w:rPr>
          <w:rFonts w:ascii="方正仿宋_GBK" w:eastAsia="方正仿宋_GBK" w:hint="eastAsia"/>
          <w:sz w:val="32"/>
          <w:szCs w:val="32"/>
        </w:rPr>
        <w:t>（1）因不可抗力致使不能实现合同目的(由于非中选人或采购人原因，致使合同实质性条款无法实现的)；</w:t>
      </w:r>
    </w:p>
    <w:p>
      <w:pPr>
        <w:rPr>
          <w:rFonts w:ascii="方正仿宋_GBK" w:eastAsia="方正仿宋_GBK" w:hint="eastAsia"/>
          <w:sz w:val="32"/>
          <w:szCs w:val="32"/>
        </w:rPr>
      </w:pPr>
      <w:r>
        <w:rPr>
          <w:rFonts w:ascii="方正仿宋_GBK" w:eastAsia="方正仿宋_GBK" w:hint="eastAsia"/>
          <w:sz w:val="32"/>
          <w:szCs w:val="32"/>
        </w:rPr>
        <w:t>（2）当事人一方迟延履行主要债务，经催告后在合理期限内仍未履行；</w:t>
      </w:r>
    </w:p>
    <w:p>
      <w:pPr>
        <w:rPr>
          <w:rFonts w:ascii="方正仿宋_GBK" w:eastAsia="方正仿宋_GBK" w:hint="eastAsia"/>
          <w:sz w:val="32"/>
          <w:szCs w:val="32"/>
        </w:rPr>
      </w:pPr>
      <w:r>
        <w:rPr>
          <w:rFonts w:ascii="方正仿宋_GBK" w:eastAsia="方正仿宋_GBK" w:hint="eastAsia"/>
          <w:sz w:val="32"/>
          <w:szCs w:val="32"/>
        </w:rPr>
        <w:t>（3）当事人一方迟延履行债务或者有其他违约行为致使不能实现合同目的；</w:t>
      </w:r>
    </w:p>
    <w:p>
      <w:pPr>
        <w:rPr>
          <w:rFonts w:ascii="方正仿宋_GBK" w:eastAsia="方正仿宋_GBK" w:hint="eastAsia"/>
          <w:sz w:val="32"/>
          <w:szCs w:val="32"/>
        </w:rPr>
      </w:pPr>
      <w:r>
        <w:rPr>
          <w:rFonts w:ascii="方正仿宋_GBK" w:eastAsia="方正仿宋_GBK" w:hint="eastAsia"/>
          <w:sz w:val="32"/>
          <w:szCs w:val="32"/>
        </w:rPr>
        <w:t>（4）法律规定的其他情形。</w:t>
      </w:r>
    </w:p>
    <w:p>
      <w:pPr>
        <w:rPr>
          <w:rFonts w:ascii="方正仿宋_GBK" w:eastAsia="方正仿宋_GBK" w:hint="eastAsia"/>
          <w:sz w:val="32"/>
          <w:szCs w:val="32"/>
        </w:rPr>
      </w:pPr>
      <w:r>
        <w:rPr>
          <w:rFonts w:ascii="方正仿宋_GBK" w:eastAsia="方正仿宋_GBK" w:hint="eastAsia"/>
          <w:sz w:val="32"/>
          <w:szCs w:val="32"/>
        </w:rPr>
        <w:t>9、本合同约定的违约金不足以弥补守约方因违约方违约行为遭受的直接损失及间接损失的，违约方还应向守约方支付相应的赔偿，守约方为实现权利而产生的相关费用，包括但不限于支付的赔偿金、补偿金、诉讼费、鉴定费、咨询费、律师费、差旅费、保全费等均由违约方承担。</w:t>
      </w:r>
    </w:p>
    <w:p>
      <w:pPr>
        <w:rPr>
          <w:rFonts w:ascii="方正仿宋_GBK" w:eastAsia="方正仿宋_GBK" w:hint="eastAsia"/>
          <w:sz w:val="32"/>
          <w:szCs w:val="32"/>
        </w:rPr>
      </w:pPr>
      <w:r>
        <w:rPr>
          <w:rFonts w:ascii="方正仿宋_GBK" w:eastAsia="方正仿宋_GBK" w:hint="eastAsia"/>
          <w:sz w:val="32"/>
          <w:szCs w:val="32"/>
        </w:rPr>
        <w:t>10、解决争议的方法</w:t>
      </w:r>
    </w:p>
    <w:p>
      <w:pPr>
        <w:rPr>
          <w:rFonts w:ascii="方正仿宋_GBK" w:eastAsia="方正仿宋_GBK" w:hint="eastAsia"/>
          <w:sz w:val="32"/>
          <w:szCs w:val="32"/>
        </w:rPr>
      </w:pPr>
      <w:r>
        <w:rPr>
          <w:rFonts w:ascii="方正仿宋_GBK" w:eastAsia="方正仿宋_GBK" w:hint="eastAsia"/>
          <w:sz w:val="32"/>
          <w:szCs w:val="32"/>
        </w:rPr>
        <w:t>（1）因服务的质量问题发生争议，由采购人或其指定的第三方机构进行质量鉴定。服务质量符合标准的，鉴定费由采购人承担；服务质量不符合标准的，鉴定费由中选人承担。</w:t>
      </w:r>
    </w:p>
    <w:p>
      <w:pPr>
        <w:rPr>
          <w:rFonts w:ascii="方正仿宋_GBK" w:eastAsia="方正仿宋_GBK" w:hint="eastAsia"/>
          <w:sz w:val="32"/>
          <w:szCs w:val="32"/>
        </w:rPr>
      </w:pPr>
      <w:r>
        <w:rPr>
          <w:rFonts w:ascii="方正仿宋_GBK" w:eastAsia="方正仿宋_GBK" w:hint="eastAsia"/>
          <w:sz w:val="32"/>
          <w:szCs w:val="32"/>
        </w:rPr>
        <w:t>（2）合同履行期间，若双方发生争议，可协商或由有关部门调解解决，协商或调解不成的， 向采购人所在地人民法院提起诉讼。</w:t>
      </w:r>
    </w:p>
    <w:p>
      <w:pPr>
        <w:rPr>
          <w:rFonts w:ascii="方正仿宋_GBK" w:eastAsia="方正仿宋_GBK" w:hint="eastAsia"/>
          <w:sz w:val="32"/>
          <w:szCs w:val="32"/>
        </w:rPr>
      </w:pPr>
    </w:p>
    <w:p>
      <w:pPr>
        <w:rPr>
          <w:rFonts w:ascii="方正仿宋_GBK" w:eastAsia="方正仿宋_GBK" w:hint="eastAsia"/>
          <w:sz w:val="32"/>
          <w:szCs w:val="32"/>
        </w:rPr>
      </w:pPr>
      <w:r>
        <w:rPr>
          <w:rFonts w:ascii="方正仿宋_GBK" w:eastAsia="方正仿宋_GBK" w:hint="eastAsia"/>
          <w:sz w:val="32"/>
          <w:szCs w:val="32"/>
        </w:rPr>
        <w:t>说明：1、本章节中关键条款标记为“★”的条款，供应商必须满足，否则按无效投标处理；</w:t>
      </w:r>
    </w:p>
    <w:p>
      <w:pPr>
        <w:rPr>
          <w:rFonts w:ascii="方正仿宋_GBK" w:eastAsia="方正仿宋_GBK" w:hint="eastAsia"/>
          <w:sz w:val="32"/>
          <w:szCs w:val="32"/>
        </w:rPr>
      </w:pPr>
    </w:p>
    <w:sectPr>
      <w:pgSz w:w="11907" w:h="16840"/>
      <w:pgMar w:top="2098" w:right="1474" w:bottom="1985" w:left="1588" w:header="1814" w:footer="1474" w:gutter="0"/>
      <w:pgNumType w:start="0"/>
      <w:titlePg/>
      <w:docGrid w:type="linesAndChars" w:linePitch="580" w:charSpace="21685"/>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2000019F" w:csb1="00000000"/>
  </w:font>
  <w:font w:name="等线">
    <w:altName w:val="微软雅黑"/>
    <w:panose1 w:val="02010600030101010101"/>
    <w:charset w:val="86"/>
    <w:family w:val="auto"/>
    <w:pitch w:val="variable"/>
    <w:sig w:usb0="00000000" w:usb1="00000000"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snapToGrid w:val="0"/>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next w:val="0"/>
    <w:pPr>
      <w:keepNext/>
      <w:keepLines/>
      <w:widowControl w:val="0"/>
      <w:spacing w:before="260" w:after="260" w:line="415" w:lineRule="auto"/>
      <w:jc w:val="both"/>
      <w:outlineLvl w:val="1"/>
    </w:pPr>
    <w:rPr>
      <w:rFonts w:ascii="Arial" w:eastAsia="黑体" w:cs="Arial" w:hAnsi="Arial"/>
      <w:b/>
      <w:bCs/>
      <w:kern w:val="2"/>
      <w:sz w:val="32"/>
      <w:szCs w:val="32"/>
      <w:lang w:val="en-US" w:eastAsia="zh-CN" w:bidi="ar-SA"/>
    </w:rPr>
  </w:style>
  <w:style w:type="paragraph" w:styleId="3">
    <w:name w:val="heading 3"/>
    <w:next w:val="0"/>
    <w:pPr>
      <w:keepNext/>
      <w:keepLines/>
      <w:widowControl w:val="0"/>
      <w:spacing w:before="260" w:after="260" w:line="413" w:lineRule="auto"/>
      <w:jc w:val="both"/>
      <w:outlineLvl w:val="2"/>
    </w:pPr>
    <w:rPr>
      <w:rFonts w:ascii="Times New Roman" w:eastAsia="宋体" w:cs="Times New Roman" w:hAnsi="Times New Roman"/>
      <w:b/>
      <w:bCs/>
      <w:kern w:val="2"/>
      <w:sz w:val="32"/>
      <w:szCs w:val="32"/>
      <w:lang w:val="en-US" w:eastAsia="zh-CN" w:bidi="ar-SA"/>
    </w:rPr>
  </w:style>
  <w:style w:type="paragraph" w:styleId="4">
    <w:name w:val="heading 4"/>
    <w:next w:val="0"/>
    <w:pPr>
      <w:keepNext/>
      <w:keepLines/>
      <w:widowControl w:val="0"/>
      <w:spacing w:before="280" w:after="290" w:line="377" w:lineRule="auto"/>
      <w:jc w:val="both"/>
      <w:outlineLvl w:val="3"/>
    </w:pPr>
    <w:rPr>
      <w:rFonts w:ascii="Cambria" w:eastAsia="宋体" w:cs="Times New Roman" w:hAnsi="Cambria"/>
      <w:b/>
      <w:bCs/>
      <w:kern w:val="2"/>
      <w:sz w:val="28"/>
      <w:szCs w:val="28"/>
      <w:lang w:val="en-US" w:eastAsia="zh-CN" w:bidi="ar-SA"/>
    </w:rPr>
  </w:style>
  <w:style w:type="character" w:default="1" w:styleId="10">
    <w:name w:val="Default Paragraph Font"/>
  </w:style>
  <w:style w:type="paragraph" w:styleId="15">
    <w:name w:val="Normal Indent"/>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footer"/>
    <w:basedOn w:val="0"/>
    <w:pPr>
      <w:tabs>
        <w:tab w:val="center" w:pos="4153"/>
        <w:tab w:val="right" w:pos="8307"/>
      </w:tabs>
      <w:snapToGrid w:val="0"/>
      <w:jc w:val="left"/>
    </w:pPr>
    <w:rPr>
      <w:sz w:val="18"/>
    </w:rPr>
  </w:style>
  <w:style w:type="paragraph" w:styleId="18">
    <w:name w:val="Signature"/>
    <w:basedOn w:val="0"/>
    <w:pPr>
      <w:ind w:left="4320"/>
    </w:pPr>
  </w:style>
  <w:style w:type="paragraph" w:styleId="19">
    <w:name w:val="Body Text 2"/>
    <w:basedOn w:val="0"/>
    <w:pPr>
      <w:spacing w:after="120" w:line="480" w:lineRule="auto"/>
    </w:pPr>
  </w:style>
  <w:style w:type="paragraph" w:customStyle="1" w:styleId="20">
    <w:name w:val="_Style 13"/>
    <w:next w:val="19"/>
    <w:pPr>
      <w:spacing w:before="120" w:after="120" w:line="288" w:lineRule="auto"/>
    </w:pPr>
    <w:rPr>
      <w:rFonts w:ascii="Arial" w:eastAsia="等线" w:cs="Arial" w:hAnsi="Arial"/>
      <w:sz w:val="22"/>
      <w:szCs w:val="22"/>
      <w:lang w:val="en-US" w:eastAsia="zh-CN" w:bidi="ar-SA"/>
    </w:rPr>
  </w:style>
  <w:style w:type="paragraph" w:customStyle="1" w:styleId="21">
    <w:name w:val="样式 四号"/>
    <w:next w:val="18"/>
    <w:pPr>
      <w:widowControl w:val="0"/>
      <w:jc w:val="both"/>
    </w:pPr>
    <w:rPr>
      <w:rFonts w:ascii="Times New Roman" w:eastAsia="宋体" w:cs="Times New Roman" w:hAnsi="Times New Roman"/>
      <w:kern w:val="2"/>
      <w:sz w:val="28"/>
      <w:szCs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13</Pages>
  <Words>5508</Words>
  <Characters>5647</Characters>
  <Lines>267</Lines>
  <Paragraphs>115</Paragraphs>
  <CharactersWithSpaces>5711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贾翔</dc:creator>
  <cp:lastModifiedBy>余欣奕</cp:lastModifiedBy>
  <cp:revision>1</cp:revision>
  <dcterms:created xsi:type="dcterms:W3CDTF">2026-03-23T07:28:45Z</dcterms:created>
  <dcterms:modified xsi:type="dcterms:W3CDTF">2026-03-23T08:38:09Z</dcterms:modified>
</cp:coreProperties>
</file>