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方正小标宋_GBK" w:eastAsia="方正小标宋_GBK" w:cs="方正小标宋_GBK"/>
          <w:sz w:val="32"/>
          <w:szCs w:val="32"/>
          <w:lang w:eastAsia="zh-CN"/>
        </w:rPr>
      </w:pPr>
      <w:bookmarkStart w:id="0" w:name="_GoBack"/>
      <w:bookmarkEnd w:id="0"/>
      <w:r>
        <w:rPr>
          <w:rFonts w:ascii="方正小标宋_GBK" w:eastAsia="方正小标宋_GBK" w:cs="方正小标宋_GBK"/>
          <w:sz w:val="32"/>
          <w:szCs w:val="32"/>
          <w:lang w:eastAsia="zh-CN"/>
        </w:rPr>
        <w:t>附件.1</w:t>
      </w:r>
    </w:p>
    <w:p>
      <w:pPr>
        <w:ind w:firstLineChars="200" w:firstLine="720"/>
        <w:rPr>
          <w:rFonts w:ascii="方正小标宋_GBK" w:eastAsia="方正小标宋_GBK" w:cs="方正小标宋_GBK" w:hint="eastAsia"/>
          <w:sz w:val="36"/>
          <w:szCs w:val="36"/>
          <w:lang w:eastAsia="zh-CN"/>
        </w:rPr>
      </w:pPr>
      <w:r>
        <w:rPr>
          <w:rFonts w:ascii="方正小标宋_GBK" w:eastAsia="方正小标宋_GBK" w:cs="方正小标宋_GBK" w:hint="eastAsia"/>
          <w:sz w:val="36"/>
          <w:szCs w:val="36"/>
          <w:lang w:eastAsia="zh-CN"/>
        </w:rPr>
        <w:t>双流机场海关打印纸配送服务</w:t>
      </w:r>
      <w:r>
        <w:rPr>
          <w:rFonts w:ascii="方正小标宋_GBK" w:eastAsia="方正小标宋_GBK" w:cs="方正小标宋_GBK"/>
          <w:sz w:val="36"/>
          <w:szCs w:val="36"/>
          <w:lang w:eastAsia="zh-CN"/>
        </w:rPr>
        <w:t>比价</w:t>
      </w:r>
      <w:r>
        <w:rPr>
          <w:rFonts w:ascii="方正小标宋_GBK" w:eastAsia="方正小标宋_GBK" w:cs="方正小标宋_GBK" w:hint="eastAsia"/>
          <w:sz w:val="36"/>
          <w:szCs w:val="36"/>
          <w:lang w:eastAsia="zh-CN"/>
        </w:rPr>
        <w:t>采购需求</w:t>
      </w:r>
    </w:p>
    <w:p>
      <w:pPr>
        <w:rPr>
          <w:rFonts w:ascii="方正黑体_GBK" w:eastAsia="方正黑体_GBK" w:cs="方正黑体_GBK"/>
          <w:sz w:val="32"/>
          <w:szCs w:val="32"/>
          <w:lang w:eastAsia="zh-CN"/>
        </w:rPr>
      </w:pPr>
    </w:p>
    <w:p>
      <w:pPr>
        <w:rPr>
          <w:rFonts w:ascii="方正黑体_GBK" w:eastAsia="方正黑体_GBK" w:cs="方正黑体_GBK" w:hint="eastAsia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一、采购服务内容</w:t>
      </w:r>
    </w:p>
    <w:tbl>
      <w:tblPr>
        <w:tblpPr w:leftFromText="180" w:rightFromText="180" w:vertAnchor="text" w:horzAnchor="page" w:tblpX="1180" w:tblpY="189"/>
        <w:tblOverlap w:val="never"/>
        <w:tblW w:w="8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755"/>
        <w:gridCol w:w="2027"/>
        <w:gridCol w:w="790"/>
        <w:gridCol w:w="1654"/>
        <w:gridCol w:w="3069"/>
      </w:tblGrid>
      <w:tr>
        <w:trPr>
          <w:trHeight w:val="454"/>
        </w:trPr>
        <w:tc>
          <w:tcPr>
            <w:tcW w:w="8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</w:pPr>
            <w:r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  <w:t>序号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</w:pPr>
            <w:r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  <w:t>名称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</w:pPr>
            <w:r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  <w:t>规格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</w:pPr>
            <w:r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  <w:t>单位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ascii="宋体" w:eastAsia="宋体" w:cs="宋体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</w:pPr>
            <w:r>
              <w:rPr>
                <w:rFonts w:ascii="宋体" w:eastAsia="宋体" w:cs="宋体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  <w:t>用量比例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</w:pPr>
            <w:r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  <w:t>单件最高限价（元）</w:t>
            </w:r>
          </w:p>
        </w:tc>
      </w:tr>
      <w:tr>
        <w:trPr>
          <w:trHeight w:val="454"/>
        </w:trPr>
        <w:tc>
          <w:tcPr>
            <w:tcW w:w="8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</w:pPr>
            <w:r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  <w:t>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</w:pPr>
            <w:r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  <w:t>复印纸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</w:rPr>
            </w:pPr>
            <w:r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  <w:t>70克A4/2500张/5包/件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</w:pPr>
            <w:r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  <w:t>件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国标仿宋-GB/T 2312" w:eastAsia="国标仿宋-GB/T 2312" w:cs="国标仿宋-GB/T 2312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bdr w:val="none" w:sz="0" w:space="0" w:color="auto"/>
                <w:vertAlign w:val="baseline"/>
                <w:lang w:val="en-US" w:eastAsia="zh-CN" w:bidi="ar-SA"/>
              </w:rPr>
            </w:pPr>
            <w:r>
              <w:rPr>
                <w:rFonts w:ascii="国标仿宋-GB/T 2312" w:eastAsia="国标仿宋-GB/T 2312" w:cs="国标仿宋-GB/T 2312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bdr w:val="none" w:sz="0" w:space="0" w:color="auto"/>
                <w:vertAlign w:val="baseline"/>
                <w:lang w:val="en-US" w:eastAsia="zh-CN" w:bidi="ar-SA"/>
              </w:rPr>
              <w:t>30%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bdr w:val="none" w:sz="0" w:space="0" w:color="auto"/>
                <w:vertAlign w:val="baseline"/>
                <w:lang w:val="en-US" w:eastAsia="zh-CN" w:bidi="ar-SA"/>
              </w:rPr>
              <w:t>96</w:t>
            </w:r>
          </w:p>
        </w:tc>
      </w:tr>
      <w:tr>
        <w:trPr>
          <w:trHeight w:val="454"/>
        </w:trPr>
        <w:tc>
          <w:tcPr>
            <w:tcW w:w="8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</w:pPr>
            <w:r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  <w:t>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</w:rPr>
            </w:pPr>
            <w:r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  <w:t>复印纸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bdr w:val="none" w:sz="0" w:space="0" w:color="auto"/>
                <w:vertAlign w:val="baseline"/>
                <w:lang w:val="en-US" w:eastAsia="zh-CN" w:bidi="ar-SA"/>
              </w:rPr>
              <w:t>80克A4/2500张/5包/件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bdr w:val="none" w:sz="0" w:space="0" w:color="auto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国标仿宋-GB/T 2312" w:eastAsia="国标仿宋-GB/T 2312" w:cs="国标仿宋-GB/T 2312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bdr w:val="none" w:sz="0" w:space="0" w:color="auto"/>
                <w:vertAlign w:val="baseline"/>
                <w:lang w:val="en-US" w:eastAsia="zh-CN" w:bidi="ar-SA"/>
              </w:rPr>
            </w:pPr>
            <w:r>
              <w:rPr>
                <w:rFonts w:ascii="国标仿宋-GB/T 2312" w:eastAsia="国标仿宋-GB/T 2312" w:cs="国标仿宋-GB/T 2312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bdr w:val="none" w:sz="0" w:space="0" w:color="auto"/>
                <w:vertAlign w:val="baseline"/>
                <w:lang w:val="en-US" w:eastAsia="zh-CN" w:bidi="ar-SA"/>
              </w:rPr>
              <w:t>60%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bdr w:val="none" w:sz="0" w:space="0" w:color="auto"/>
                <w:vertAlign w:val="baseline"/>
                <w:lang w:val="en-US" w:eastAsia="zh-CN" w:bidi="ar-SA"/>
              </w:rPr>
              <w:t>107</w:t>
            </w:r>
          </w:p>
        </w:tc>
      </w:tr>
      <w:tr>
        <w:trPr>
          <w:trHeight w:val="454"/>
        </w:trPr>
        <w:tc>
          <w:tcPr>
            <w:tcW w:w="8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</w:pPr>
            <w:r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  <w:t>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</w:rPr>
            </w:pPr>
            <w:r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  <w:t>复印纸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eastAsia="zh-CN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bdr w:val="none" w:sz="0" w:space="0" w:color="auto"/>
                <w:vertAlign w:val="baseline"/>
                <w:lang w:val="en-US" w:eastAsia="zh-CN" w:bidi="ar-SA"/>
              </w:rPr>
              <w:t>80克A3/2500张/5包/件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bdr w:val="none" w:sz="0" w:space="0" w:color="auto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国标仿宋-GB/T 2312" w:eastAsia="国标仿宋-GB/T 2312" w:cs="国标仿宋-GB/T 2312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bdr w:val="none" w:sz="0" w:space="0" w:color="auto"/>
                <w:vertAlign w:val="baseline"/>
                <w:lang w:val="en-US" w:eastAsia="zh-CN" w:bidi="ar-SA"/>
              </w:rPr>
            </w:pPr>
            <w:r>
              <w:rPr>
                <w:rFonts w:ascii="国标仿宋-GB/T 2312" w:eastAsia="国标仿宋-GB/T 2312" w:cs="国标仿宋-GB/T 2312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bdr w:val="none" w:sz="0" w:space="0" w:color="auto"/>
                <w:vertAlign w:val="baseline"/>
                <w:lang w:val="en-US" w:eastAsia="zh-CN" w:bidi="ar-SA"/>
              </w:rPr>
              <w:t>10%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000000"/>
                <w:sz w:val="24"/>
                <w:szCs w:val="24"/>
                <w:bdr w:val="none" w:sz="0" w:space="0" w:color="auto"/>
                <w:vertAlign w:val="baseline"/>
                <w:lang w:val="en-US" w:eastAsia="zh-CN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bdr w:val="none" w:sz="0" w:space="0" w:color="auto"/>
                <w:vertAlign w:val="baseline"/>
                <w:lang w:val="en-US" w:eastAsia="zh-CN" w:bidi="ar-SA"/>
              </w:rPr>
              <w:t>220</w:t>
            </w:r>
          </w:p>
        </w:tc>
      </w:tr>
      <w:tr>
        <w:trPr>
          <w:trHeight w:val="771"/>
        </w:trPr>
        <w:tc>
          <w:tcPr>
            <w:tcW w:w="1265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right="0" w:firstLineChars="200" w:firstLine="480"/>
              <w:jc w:val="left"/>
              <w:textAlignment w:val="baseline"/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right="0" w:firstLineChars="200" w:firstLine="480"/>
              <w:jc w:val="left"/>
              <w:textAlignment w:val="baseline"/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说明：点对点车辆配送服务和人工搬运服务免费，需配送至甲方联系人指定办公地点指定房间。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snapToGrid/>
                <w:color w:val="000000"/>
                <w:kern w:val="0"/>
                <w:sz w:val="24"/>
                <w:szCs w:val="24"/>
                <w:bdr w:val="none" w:sz="0" w:space="0" w:color="auto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kinsoku w:val="0"/>
        <w:autoSpaceDE/>
        <w:autoSpaceDN w:val="0"/>
        <w:adjustRightInd w:val="0"/>
        <w:snapToGrid w:val="0"/>
        <w:spacing w:before="0" w:beforeAutospacing="0" w:after="0" w:afterAutospacing="0" w:line="288" w:lineRule="auto"/>
        <w:ind w:left="0" w:right="0" w:firstLineChars="200" w:firstLine="480"/>
        <w:jc w:val="left"/>
        <w:textAlignment w:val="baseline"/>
        <w:rPr>
          <w:rFonts w:ascii="宋体" w:eastAsia="宋体" w:cs="宋体" w:hint="eastAsia"/>
          <w:b w:val="0"/>
          <w:bCs w:val="0"/>
          <w:caps w:val="0"/>
          <w:smallCaps w:val="0"/>
          <w:snapToGrid/>
          <w:color w:val="000000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rPr>
          <w:rFonts w:ascii="方正黑体_GBK" w:eastAsia="方正黑体_GBK" w:cs="方正黑体_GBK" w:hint="eastAsia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/>
        </w:rPr>
        <w:t>二、服务模式及地点：</w:t>
      </w:r>
    </w:p>
    <w:p>
      <w:pPr>
        <w:keepNext w:val="0"/>
        <w:keepLines w:val="0"/>
        <w:widowControl/>
        <w:suppressLineNumbers w:val="0"/>
        <w:kinsoku w:val="0"/>
        <w:autoSpaceDE/>
        <w:autoSpaceDN w:val="0"/>
        <w:adjustRightInd w:val="0"/>
        <w:snapToGrid w:val="0"/>
        <w:spacing w:before="0" w:beforeAutospacing="0" w:after="0" w:afterAutospacing="0" w:line="288" w:lineRule="auto"/>
        <w:ind w:left="0" w:right="0" w:firstLineChars="200" w:firstLine="640"/>
        <w:jc w:val="left"/>
        <w:textAlignment w:val="baseline"/>
        <w:rPr>
          <w:rFonts w:ascii="国标仿宋-GB/T 2312" w:eastAsia="国标仿宋-GB/T 2312" w:cs="国标仿宋-GB/T 2312" w:hint="eastAsia"/>
          <w:b w:val="0"/>
          <w:bCs w:val="0"/>
          <w:caps w:val="0"/>
          <w:smallCaps w:val="0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</w:pPr>
      <w:r>
        <w:rPr>
          <w:rFonts w:ascii="国标仿宋-GB/T 2312" w:eastAsia="国标仿宋-GB/T 2312" w:cs="国标仿宋-GB/T 2312" w:hint="eastAsia"/>
          <w:b w:val="0"/>
          <w:bCs w:val="0"/>
          <w:caps w:val="0"/>
          <w:smallCaps w:val="0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  <w:t>（一）服务订购模式：经双方确认，甲方以指定微信/QQ/电话向服务方发送需求型号和需求量的形式订货。服务方应在甲方提出服务需求后2小时内做出服务响应，市区2小时内，郊区4小时内完成配送。</w:t>
      </w:r>
    </w:p>
    <w:p>
      <w:pPr>
        <w:keepNext w:val="0"/>
        <w:keepLines w:val="0"/>
        <w:widowControl/>
        <w:suppressLineNumbers w:val="0"/>
        <w:kinsoku w:val="0"/>
        <w:autoSpaceDE/>
        <w:autoSpaceDN w:val="0"/>
        <w:adjustRightInd w:val="0"/>
        <w:snapToGrid w:val="0"/>
        <w:spacing w:before="0" w:beforeAutospacing="0" w:after="0" w:afterAutospacing="0" w:line="288" w:lineRule="auto"/>
        <w:ind w:left="0" w:right="0" w:firstLineChars="200" w:firstLine="640"/>
        <w:jc w:val="left"/>
        <w:textAlignment w:val="baseline"/>
        <w:rPr>
          <w:rFonts w:ascii="国标仿宋-GB/T 2312" w:eastAsia="国标仿宋-GB/T 2312" w:cs="国标仿宋-GB/T 2312" w:hint="eastAsia"/>
          <w:b w:val="0"/>
          <w:bCs w:val="0"/>
          <w:caps w:val="0"/>
          <w:smallCaps w:val="0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</w:pPr>
      <w:r>
        <w:rPr>
          <w:rFonts w:ascii="国标仿宋-GB/T 2312" w:eastAsia="国标仿宋-GB/T 2312" w:cs="国标仿宋-GB/T 2312" w:hint="eastAsia"/>
          <w:b w:val="0"/>
          <w:bCs w:val="0"/>
          <w:caps w:val="0"/>
          <w:smallCaps w:val="0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  <w:t>（二）服务地点:机场海关双流办公楼</w:t>
      </w:r>
      <w:r>
        <w:rPr>
          <w:rFonts w:ascii="国标仿宋-GB/T 2312" w:eastAsia="国标仿宋-GB/T 2312" w:cs="国标仿宋-GB/T 2312"/>
          <w:b w:val="0"/>
          <w:bCs w:val="0"/>
          <w:caps w:val="0"/>
          <w:smallCaps w:val="0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  <w:t>（双流区大件路289号）</w:t>
      </w:r>
    </w:p>
    <w:p>
      <w:pPr>
        <w:rPr>
          <w:rFonts w:ascii="方正黑体_GBK" w:eastAsia="方正黑体_GBK" w:cs="方正黑体_GBK" w:hint="eastAsia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/>
        </w:rPr>
        <w:t>三、付款时间及方式</w:t>
      </w:r>
    </w:p>
    <w:p>
      <w:pPr>
        <w:keepNext w:val="0"/>
        <w:keepLines w:val="0"/>
        <w:widowControl/>
        <w:suppressLineNumbers w:val="0"/>
        <w:kinsoku w:val="0"/>
        <w:autoSpaceDE/>
        <w:autoSpaceDN w:val="0"/>
        <w:adjustRightInd w:val="0"/>
        <w:snapToGrid w:val="0"/>
        <w:spacing w:before="0" w:beforeAutospacing="0" w:after="0" w:afterAutospacing="0" w:line="288" w:lineRule="auto"/>
        <w:ind w:left="0" w:right="0" w:firstLineChars="200" w:firstLine="640"/>
        <w:jc w:val="left"/>
        <w:textAlignment w:val="baseline"/>
        <w:rPr>
          <w:rFonts w:ascii="国标仿宋-GB/T 2312" w:eastAsia="国标仿宋-GB/T 2312" w:cs="国标仿宋-GB/T 2312" w:hint="eastAsia"/>
          <w:caps w:val="0"/>
          <w:smallCaps w:val="0"/>
          <w:color w:val="000000"/>
          <w:sz w:val="32"/>
          <w:szCs w:val="32"/>
          <w:vertAlign w:val="baseline"/>
        </w:rPr>
      </w:pPr>
      <w:r>
        <w:rPr>
          <w:rFonts w:ascii="国标仿宋-GB/T 2312" w:eastAsia="国标仿宋-GB/T 2312" w:cs="国标仿宋-GB/T 2312" w:hint="eastAsia"/>
          <w:b w:val="0"/>
          <w:bCs w:val="0"/>
          <w:caps w:val="0"/>
          <w:smallCaps w:val="0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  <w:t>双方应在每月前5个工作日对于上月的配送及验收情况进行核对；服务方根据双方核对无异议的金额向买方出具合法的发票，甲方在收到发票后20日内向服务方支付双方核对无误的对账单全部货款。</w:t>
      </w:r>
    </w:p>
    <w:p>
      <w:pPr>
        <w:numPr>
          <w:ilvl w:val="0"/>
          <w:numId w:val="1"/>
        </w:numPr>
        <w:rPr>
          <w:rFonts w:ascii="方正黑体_GBK" w:eastAsia="方正黑体_GBK" w:cs="方正黑体_GBK" w:hint="eastAsia"/>
          <w:sz w:val="32"/>
          <w:szCs w:val="32"/>
          <w:lang w:val="en-US"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/>
        </w:rPr>
        <w:t>年度预算金额</w:t>
      </w:r>
    </w:p>
    <w:p>
      <w:pPr>
        <w:rPr>
          <w:rFonts w:ascii="国标仿宋-GB/T 2312" w:eastAsia="国标仿宋-GB/T 2312" w:cs="国标仿宋-GB/T 2312"/>
          <w:b w:val="0"/>
          <w:bCs w:val="0"/>
          <w:caps w:val="0"/>
          <w:smallCaps w:val="0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/>
        </w:rPr>
        <w:t xml:space="preserve">    </w:t>
      </w:r>
      <w:r>
        <w:rPr>
          <w:rFonts w:ascii="国标仿宋-GB/T 2312" w:eastAsia="国标仿宋-GB/T 2312" w:cs="国标仿宋-GB/T 2312" w:hint="eastAsia"/>
          <w:b w:val="0"/>
          <w:bCs w:val="0"/>
          <w:caps w:val="0"/>
          <w:smallCaps w:val="0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  <w:t>该服务项目年度预算总金额为5万元整。</w:t>
      </w:r>
    </w:p>
    <w:sectPr>
      <w:pgSz w:w="11906" w:h="16838"/>
      <w:pgMar w:top="1440" w:right="1474" w:bottom="1440" w:left="1587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国标仿宋-GB/T 2312">
    <w:altName w:val="微软雅黑"/>
    <w:panose1 w:val="02000500000000000000"/>
    <w:charset w:val="86"/>
    <w:family w:val="auto"/>
    <w:pitch w:val="variable"/>
    <w:sig w:usb0="800002AF" w:usb1="08476CF8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Calibri">
    <w:altName w:val="微软雅黑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Microsoft JhengHei">
    <w:altName w:val="宋体"/>
    <w:panose1 w:val="020B0604030504040204"/>
    <w:charset w:val="88"/>
    <w:family w:val="auto"/>
    <w:pitch w:val="variable"/>
    <w:sig w:usb0="00000087" w:usb1="288F4000" w:usb2="00000016" w:usb3="00000000" w:csb0="00100009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F6DBE8"/>
    <w:multiLevelType w:val="singleLevel"/>
    <w:tmpl w:val="FFF6DBE8"/>
    <w:lvl w:ilvl="0">
      <w:start w:val="4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bordersDoNotSurroundHeader/>
  <w:bordersDoNotSurroundFooter/>
  <w:trackRevisions/>
  <w:defaultTabStop w:val="420"/>
  <w:drawingGridHorizontalSpacing w:val="18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Table Text"/>
    <w:basedOn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 w:line="240" w:lineRule="auto"/>
      <w:ind w:left="0" w:firstLine="0"/>
      <w:jc w:val="left"/>
      <w:textAlignment w:val="baseline"/>
    </w:pPr>
    <w:rPr>
      <w:rFonts w:ascii="Microsoft JhengHei" w:eastAsia="Microsoft JhengHei" w:cs="Microsoft JhengHei"/>
      <w:b w:val="0"/>
      <w:bCs w:val="0"/>
      <w:snapToGrid/>
      <w:color w:val="000000"/>
      <w:kern w:val="0"/>
      <w:sz w:val="19"/>
      <w:szCs w:val="19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14112693</TotalTime>
  <Application>Yozo_Office</Application>
  <Pages>2</Pages>
  <Words>386</Words>
  <Characters>428</Characters>
  <Lines>50</Lines>
  <Paragraphs>35</Paragraphs>
  <CharactersWithSpaces>432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刘家琛</cp:lastModifiedBy>
  <cp:revision>0</cp:revision>
  <cp:lastPrinted>2026-04-07T01:59:24Z</cp:lastPrinted>
  <dcterms:created xsi:type="dcterms:W3CDTF">2026-03-23T07:31:00Z</dcterms:created>
  <dcterms:modified xsi:type="dcterms:W3CDTF">2026-04-08T08:54:39Z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2052-12.8.2.21176</vt:lpwstr>
  </property>
</Properties>
</file>