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ageBreakBefore w:val="0"/>
        <w:widowControl w:val="0"/>
        <w:kinsoku/>
        <w:wordWrap/>
        <w:overflowPunct/>
        <w:topLinePunct w:val="0"/>
        <w:bidi w:val="0"/>
        <w:spacing w:line="360" w:lineRule="auto"/>
        <w:ind w:firstLine="0"/>
        <w:textAlignment w:val="auto"/>
        <w:rPr>
          <w:rFonts w:ascii="仿宋" w:eastAsia="仿宋"/>
          <w:b/>
          <w:bCs/>
          <w:sz w:val="28"/>
          <w:szCs w:val="28"/>
        </w:rPr>
      </w:pPr>
      <w:bookmarkStart w:id="0" w:name="_GoBack"/>
      <w:bookmarkEnd w:id="0"/>
    </w:p>
    <w:p>
      <w:pPr>
        <w:pStyle w:val="4"/>
        <w:spacing w:before="0" w:after="0" w:line="500" w:lineRule="exact"/>
        <w:rPr>
          <w:rFonts w:ascii="仿宋" w:eastAsia="仿宋" w:cs="仿宋" w:hint="eastAsia"/>
          <w:color w:val="auto"/>
          <w:sz w:val="28"/>
          <w:szCs w:val="28"/>
          <w:lang w:eastAsia="zh-CN"/>
        </w:rPr>
      </w:pPr>
      <w:r>
        <w:rPr>
          <w:rFonts w:ascii="仿宋" w:eastAsia="仿宋" w:cs="仿宋" w:hint="eastAsia"/>
          <w:color w:val="auto"/>
          <w:sz w:val="28"/>
          <w:szCs w:val="28"/>
          <w:lang w:eastAsia="zh-CN"/>
        </w:rPr>
        <w:t>附件：</w:t>
      </w:r>
    </w:p>
    <w:p>
      <w:pPr>
        <w:pStyle w:val="4"/>
        <w:spacing w:before="0" w:after="0" w:line="500" w:lineRule="exact"/>
        <w:rPr>
          <w:rFonts w:ascii="仿宋" w:eastAsia="仿宋" w:cs="仿宋" w:hint="eastAsia"/>
          <w:color w:val="auto"/>
          <w:sz w:val="28"/>
          <w:szCs w:val="28"/>
        </w:rPr>
      </w:pPr>
      <w:r>
        <w:rPr>
          <w:rFonts w:ascii="仿宋" w:eastAsia="仿宋" w:cs="仿宋" w:hint="eastAsia"/>
          <w:color w:val="auto"/>
          <w:sz w:val="28"/>
          <w:szCs w:val="28"/>
        </w:rPr>
        <w:t>一、采购内容</w:t>
      </w:r>
    </w:p>
    <w:p>
      <w:pPr>
        <w:keepNext w:val="0"/>
        <w:keepLines w:val="0"/>
        <w:pageBreakBefore w:val="0"/>
        <w:widowControl w:val="0"/>
        <w:kinsoku/>
        <w:wordWrap/>
        <w:overflowPunct/>
        <w:topLinePunct w:val="0"/>
        <w:autoSpaceDE/>
        <w:autoSpaceDN/>
        <w:bidi w:val="0"/>
        <w:adjustRightInd/>
        <w:snapToGrid/>
        <w:ind w:firstLineChars="200" w:firstLine="560"/>
        <w:jc w:val="left"/>
        <w:textAlignment w:val="auto"/>
        <w:rPr>
          <w:rFonts w:ascii="仿宋" w:eastAsia="仿宋" w:cs="仿宋" w:hint="eastAsia"/>
          <w:sz w:val="28"/>
          <w:szCs w:val="28"/>
          <w:lang w:eastAsia="zh-CN"/>
        </w:rPr>
      </w:pPr>
      <w:r>
        <w:rPr>
          <w:rFonts w:ascii="仿宋" w:eastAsia="仿宋" w:cs="仿宋" w:hint="eastAsia"/>
          <w:sz w:val="28"/>
          <w:szCs w:val="28"/>
          <w:lang w:eastAsia="zh-CN"/>
        </w:rPr>
        <w:t>本次采购内容为：配件类耗材。</w:t>
      </w:r>
    </w:p>
    <w:p>
      <w:pPr>
        <w:pStyle w:val="4"/>
        <w:spacing w:before="0" w:after="0" w:line="500" w:lineRule="exact"/>
        <w:rPr>
          <w:rFonts w:ascii="仿宋" w:eastAsia="仿宋" w:cs="仿宋"/>
          <w:color w:val="auto"/>
          <w:sz w:val="28"/>
          <w:szCs w:val="28"/>
        </w:rPr>
      </w:pPr>
      <w:r>
        <w:rPr>
          <w:rFonts w:ascii="仿宋" w:eastAsia="仿宋" w:cs="仿宋" w:hint="eastAsia"/>
          <w:color w:val="auto"/>
          <w:sz w:val="28"/>
          <w:szCs w:val="28"/>
        </w:rPr>
        <w:t>二、采购清单及技术要求</w:t>
      </w:r>
    </w:p>
    <w:p>
      <w:pPr>
        <w:jc w:val="center"/>
        <w:rPr>
          <w:rFonts w:ascii="仿宋" w:eastAsia="仿宋" w:cs="仿宋"/>
          <w:b/>
          <w:bCs/>
          <w:color w:val="auto"/>
          <w:sz w:val="28"/>
          <w:szCs w:val="28"/>
        </w:rPr>
      </w:pPr>
      <w:r>
        <w:rPr>
          <w:rFonts w:ascii="仿宋" w:eastAsia="仿宋" w:cs="仿宋" w:hint="eastAsia"/>
          <w:b/>
          <w:bCs/>
          <w:color w:val="auto"/>
          <w:sz w:val="28"/>
          <w:szCs w:val="28"/>
        </w:rPr>
        <w:t>配件类耗材</w:t>
      </w:r>
    </w:p>
    <w:tbl>
      <w:tblPr>
        <w:jc w:val="center"/>
        <w:tblW w:w="996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587"/>
        <w:gridCol w:w="686"/>
        <w:gridCol w:w="1181"/>
        <w:gridCol w:w="4166"/>
        <w:gridCol w:w="1017"/>
        <w:gridCol w:w="708"/>
        <w:gridCol w:w="439"/>
        <w:gridCol w:w="1177"/>
      </w:tblGrid>
      <w:tr>
        <w:trPr>
          <w:tblHeader/>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b/>
                <w:bCs/>
                <w:color w:val="auto"/>
                <w:sz w:val="24"/>
                <w:szCs w:val="24"/>
              </w:rPr>
            </w:pPr>
            <w:r>
              <w:rPr>
                <w:rFonts w:ascii="仿宋" w:eastAsia="仿宋" w:cs="仿宋" w:hint="eastAsia"/>
                <w:b/>
                <w:bCs/>
                <w:color w:val="auto"/>
                <w:sz w:val="24"/>
                <w:szCs w:val="24"/>
              </w:rPr>
              <w:t>序号</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b/>
                <w:bCs/>
                <w:color w:val="auto"/>
                <w:sz w:val="24"/>
                <w:szCs w:val="24"/>
              </w:rPr>
            </w:pPr>
            <w:r>
              <w:rPr>
                <w:rFonts w:ascii="仿宋" w:eastAsia="仿宋" w:cs="仿宋" w:hint="eastAsia"/>
                <w:b/>
                <w:bCs/>
                <w:color w:val="auto"/>
                <w:sz w:val="24"/>
                <w:szCs w:val="24"/>
              </w:rPr>
              <w:t>需求部门</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b/>
                <w:bCs/>
                <w:color w:val="auto"/>
                <w:sz w:val="24"/>
                <w:szCs w:val="24"/>
              </w:rPr>
            </w:pPr>
            <w:r>
              <w:rPr>
                <w:rFonts w:ascii="仿宋" w:eastAsia="仿宋" w:cs="仿宋" w:hint="eastAsia"/>
                <w:b/>
                <w:bCs/>
                <w:color w:val="auto"/>
                <w:sz w:val="24"/>
                <w:szCs w:val="24"/>
              </w:rPr>
              <w:t>品名（标的名称）</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b/>
                <w:bCs/>
                <w:color w:val="auto"/>
                <w:sz w:val="24"/>
                <w:szCs w:val="24"/>
              </w:rPr>
            </w:pPr>
            <w:r>
              <w:rPr>
                <w:rFonts w:ascii="仿宋" w:eastAsia="仿宋" w:cs="仿宋" w:hint="eastAsia"/>
                <w:b/>
                <w:bCs/>
                <w:color w:val="auto"/>
                <w:sz w:val="24"/>
                <w:szCs w:val="24"/>
              </w:rPr>
              <w:t>规格型号及技术要求</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b/>
                <w:bCs/>
                <w:color w:val="auto"/>
                <w:sz w:val="24"/>
                <w:szCs w:val="24"/>
              </w:rPr>
            </w:pPr>
            <w:r>
              <w:rPr>
                <w:rStyle w:val="43"/>
                <w:color w:val="auto"/>
                <w:sz w:val="24"/>
                <w:szCs w:val="24"/>
              </w:rPr>
              <w:t>★</w:t>
            </w:r>
            <w:r>
              <w:rPr>
                <w:rStyle w:val="43"/>
                <w:rFonts w:ascii="仿宋" w:eastAsia="仿宋" w:cs="仿宋"/>
                <w:color w:val="auto"/>
                <w:sz w:val="24"/>
                <w:szCs w:val="24"/>
              </w:rPr>
              <w:t>限价</w:t>
            </w:r>
            <w:r>
              <w:rPr>
                <w:rFonts w:ascii="仿宋" w:eastAsia="仿宋" w:cs="仿宋" w:hint="eastAsia"/>
                <w:b/>
                <w:bCs/>
                <w:color w:val="auto"/>
                <w:sz w:val="24"/>
                <w:szCs w:val="24"/>
              </w:rPr>
              <w:t>单价</w:t>
            </w:r>
          </w:p>
          <w:p>
            <w:pPr>
              <w:widowControl/>
              <w:snapToGrid w:val="0"/>
              <w:jc w:val="center"/>
              <w:textAlignment w:val="center"/>
              <w:rPr>
                <w:rFonts w:ascii="仿宋" w:eastAsia="仿宋" w:cs="仿宋"/>
                <w:b/>
                <w:bCs/>
                <w:color w:val="auto"/>
                <w:sz w:val="24"/>
                <w:szCs w:val="24"/>
              </w:rPr>
            </w:pPr>
            <w:r>
              <w:rPr>
                <w:rFonts w:ascii="仿宋" w:eastAsia="仿宋" w:cs="仿宋" w:hint="eastAsia"/>
                <w:b/>
                <w:bCs/>
                <w:color w:val="auto"/>
                <w:sz w:val="24"/>
                <w:szCs w:val="24"/>
              </w:rPr>
              <w:t>（元）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b/>
                <w:bCs/>
                <w:color w:val="auto"/>
                <w:sz w:val="24"/>
                <w:szCs w:val="24"/>
              </w:rPr>
            </w:pPr>
            <w:r>
              <w:rPr>
                <w:rStyle w:val="44"/>
                <w:rFonts w:ascii="仿宋" w:eastAsia="仿宋" w:cs="仿宋" w:hint="eastAsia"/>
                <w:color w:val="auto"/>
                <w:sz w:val="24"/>
                <w:szCs w:val="24"/>
              </w:rPr>
              <w:t>预估</w:t>
            </w:r>
            <w:r>
              <w:rPr>
                <w:rFonts w:ascii="仿宋" w:eastAsia="仿宋" w:cs="仿宋" w:hint="eastAsia"/>
                <w:b/>
                <w:bCs/>
                <w:color w:val="auto"/>
                <w:sz w:val="24"/>
                <w:szCs w:val="24"/>
              </w:rPr>
              <w:t>需求数量</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b/>
                <w:bCs/>
                <w:color w:val="auto"/>
                <w:sz w:val="24"/>
                <w:szCs w:val="24"/>
              </w:rPr>
            </w:pPr>
            <w:r>
              <w:rPr>
                <w:rFonts w:ascii="仿宋" w:eastAsia="仿宋" w:cs="仿宋" w:hint="eastAsia"/>
                <w:b/>
                <w:bCs/>
                <w:color w:val="auto"/>
                <w:sz w:val="24"/>
                <w:szCs w:val="24"/>
              </w:rPr>
              <w:t>数量单位</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b/>
                <w:bCs/>
                <w:color w:val="auto"/>
                <w:sz w:val="24"/>
                <w:szCs w:val="24"/>
              </w:rPr>
            </w:pPr>
            <w:r>
              <w:rPr>
                <w:rStyle w:val="43"/>
                <w:color w:val="auto"/>
                <w:sz w:val="24"/>
                <w:szCs w:val="24"/>
              </w:rPr>
              <w:t>★</w:t>
            </w:r>
            <w:r>
              <w:rPr>
                <w:rStyle w:val="43"/>
                <w:rFonts w:ascii="仿宋" w:eastAsia="仿宋" w:cs="仿宋"/>
                <w:color w:val="auto"/>
                <w:sz w:val="24"/>
                <w:szCs w:val="24"/>
              </w:rPr>
              <w:t>单价限价</w:t>
            </w:r>
            <w:r>
              <w:rPr>
                <w:rFonts w:ascii="仿宋" w:eastAsia="仿宋" w:cs="仿宋" w:hint="eastAsia"/>
                <w:b/>
                <w:bCs/>
                <w:color w:val="auto"/>
                <w:sz w:val="24"/>
                <w:szCs w:val="24"/>
              </w:rPr>
              <w:t>总价</w:t>
            </w:r>
          </w:p>
          <w:p>
            <w:pPr>
              <w:widowControl/>
              <w:snapToGrid w:val="0"/>
              <w:jc w:val="center"/>
              <w:textAlignment w:val="center"/>
              <w:rPr>
                <w:rFonts w:ascii="仿宋" w:eastAsia="仿宋" w:cs="仿宋"/>
                <w:b/>
                <w:bCs/>
                <w:color w:val="auto"/>
                <w:sz w:val="24"/>
                <w:szCs w:val="24"/>
              </w:rPr>
            </w:pPr>
            <w:r>
              <w:rPr>
                <w:rFonts w:ascii="仿宋" w:eastAsia="仿宋" w:cs="仿宋" w:hint="eastAsia"/>
                <w:b/>
                <w:bCs/>
                <w:color w:val="auto"/>
                <w:sz w:val="24"/>
                <w:szCs w:val="24"/>
              </w:rPr>
              <w:t>（元）</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双口烧瓶</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1000mL，$29/32,$24/29，适配于盛泰二氧化硫蒸馏仪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120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80</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9600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SOA600冷凝管</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适配于二氧化硫蒸馏仪SOA600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1050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6</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6300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3</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双层冷凝管</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适配于盛泰二氧化硫蒸馏仪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6</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3600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4</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弯接管</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107-1RW/107-1P/107S，</w:t>
            </w:r>
          </w:p>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★适配于盛泰二氧化硫蒸馏仪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30</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1350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5</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蒸馏管</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耐高温防爆管，500mL，</w:t>
            </w:r>
          </w:p>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★适配于凯氏定氮仪K1160、K1140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1685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20</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33700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6</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pH电极</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★适配于自动电位滴定仪（品牌：瑞士万通，型号888Titrando）</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4264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支</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4264</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7</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SOA600气液三通</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★适配于二氧化硫蒸馏仪SOA600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270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30</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8100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8</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密度仪试管盖</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1000个/盒,</w:t>
            </w:r>
          </w:p>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★适配于密度测定仪（品牌：鲁道夫Rudolph，型号A25-400）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995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包</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1990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9</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阴离子色谱柱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1、10μm 4.1*250mm；</w:t>
            </w:r>
          </w:p>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★2、适配于原子荧光形态分析仪（品牌：吉天，型号：SAP-20/AFS-9230）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5880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5880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原子荧光进样针</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1、5支/盒,</w:t>
            </w:r>
          </w:p>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★2、适配于原子荧光形态分析仪（品牌：吉天，型号：SAP-20/AFS-9230）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223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盒</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223</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11</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砷空心阴极灯</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★适配于原子荧光形态分析仪（品牌：吉天，型号：SAP-20/AFS-9230）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750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12</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汞空心阴极灯</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★适配于原子荧光形态分析仪（品牌：吉天，型号：SAP-20/AFS-9230）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750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13</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钙镁编码多元素空心阴极灯</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★适配于原子吸收光谱仪（品牌：安捷伦，型号：240FS/240Z）</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4240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4240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14</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钾（K）元素空心阴极灯</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★适配于原子吸收光谱仪（品牌：安捷伦，型号：240FS/240Z）</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3840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3840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15</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铬（Cr）元素空心阴极灯</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★适配于原子吸收光谱仪（品牌：安捷伦，型号：240FS/240Z）</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3555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3555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16</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钠（Na）元素空心阴极灯</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★适配于原子吸收光谱仪（品牌：安捷伦，型号：240FS/240Z）</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4000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4000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17</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镉（Cd）元素空心阴极灯</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★适配于原子吸收光谱仪（品牌：安捷伦，型号：240FS/240Z）</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3250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3250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18</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铅（Pb)元素空心阴极灯</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★适配于原子吸收光谱仪（品牌：安捷伦，型号：240FS/240Z）</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3629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3629</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19</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原子吸收进样针</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1、PSD-120的毛细管组件，5根/包。★2、适配于原子吸收光谱仪（品牌：安捷伦，型号：240FS/240Z）</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2625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包</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2625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原子吸收石墨管</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1、石墨管，涂层-GTA，10个/盒。</w:t>
            </w:r>
          </w:p>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★2、适配于原子吸收光谱仪（品牌：安捷伦，型号：240FS/240Z）</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4251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盒</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4251</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21</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ICP矩管</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★适配于Varian 720-ES电感耦合等离子体发射光谱仪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5650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5650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22</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RSI自动进样针</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★适配于PE NexION 350X电感耦合等离子体质谱仪。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9905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9905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23</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线圈</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★适配于PE NexION 350X电感耦合等离子体质谱仪。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6702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6702</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24</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截取锥</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★适配于PE NexION 350X电感耦合等离子体质谱仪。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5105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5105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25</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样品锥</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★适配于PE NexION 350X电感耦合等离子体质谱仪。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6515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6515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26</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中心管</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★适配于PE NexION 350X电感耦合等离子体质谱仪。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10110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10110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27</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内标管</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1、0.38mm，12/pk，</w:t>
            </w:r>
          </w:p>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2、★适配于PE NexION 350X电感耦合等离子体质谱仪。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1385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包</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1385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28</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ICP-MS 泵油</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1、PFPE Fomblin Fluid LVO 420, 1L Bottle。</w:t>
            </w:r>
          </w:p>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2、★适配于PE NexION 350X电感耦合等离子体质谱仪。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15780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瓶</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15780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29</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ICPMS雾化器（石英）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适配于Agilent 7850电感耦合等离子体质谱仪。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6829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6829</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30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ICPMS雾化器（耐高盐）</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适配于Agilent 7850电感耦合等离子体质谱仪。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11660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11660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31</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ICPMS采样锥</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★适配于Agilent 7850电感耦合等离子体质谱仪。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6949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6949</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32</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ICPMS截取锥</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★适配于Agilent 7850电感耦合等离子体质谱仪。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4427</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4427</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33</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ICPMS雾化室</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★适配于Agilent 7850电感耦合等离子体质谱仪。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7026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7026</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34</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ICPMS中心管</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★适配于Agilent 7850电感耦合等离子体质谱仪。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1425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1425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35</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ICPMS进样针</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★适配于Agilent 7850电感耦合等离子体质谱仪。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2860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2860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36</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ICPMS内标管</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★适配于Agilent 7850电感耦合等离子体质谱仪。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1530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包</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1530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37</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理化一室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ICPMS样品管</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★适配于Agilent 7850电感耦合等离子体质谱仪。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880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包</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880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38</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C18</w:t>
            </w:r>
            <w:r>
              <w:rPr>
                <w:rStyle w:val="45"/>
                <w:rFonts w:ascii="仿宋" w:eastAsia="仿宋" w:cs="仿宋"/>
                <w:color w:val="auto"/>
              </w:rPr>
              <w:t>色谱柱</w:t>
            </w:r>
            <w:r>
              <w:rPr>
                <w:rFonts w:ascii="仿宋" w:eastAsia="仿宋" w:cs="仿宋" w:hint="eastAsia"/>
                <w:color w:val="auto"/>
                <w:sz w:val="24"/>
                <w:szCs w:val="24"/>
              </w:rPr>
              <w:t>1</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十八烷基键合的聚合物包被硅胶色谱柱，孔径100Å，比表面积350 m</w:t>
            </w:r>
            <w:r>
              <w:rPr>
                <w:rFonts w:ascii="仿宋" w:eastAsia="仿宋" w:cs="仿宋" w:hint="eastAsia"/>
                <w:color w:val="auto"/>
                <w:sz w:val="24"/>
                <w:szCs w:val="24"/>
                <w:vertAlign w:val="superscript"/>
              </w:rPr>
              <w:t>2</w:t>
            </w:r>
            <w:r>
              <w:rPr>
                <w:rFonts w:ascii="仿宋" w:eastAsia="仿宋" w:cs="仿宋" w:hint="eastAsia"/>
                <w:color w:val="auto"/>
                <w:sz w:val="24"/>
                <w:szCs w:val="24"/>
              </w:rPr>
              <w:t>/g，1.9um，2.1x100mm，耐受pH范围1-10，端基封尾，键合距离优化技术，载炭量13 %，耐受纯水相</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5700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5700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39</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C18</w:t>
            </w:r>
            <w:r>
              <w:rPr>
                <w:rStyle w:val="45"/>
                <w:rFonts w:ascii="仿宋" w:eastAsia="仿宋" w:cs="仿宋"/>
                <w:color w:val="auto"/>
              </w:rPr>
              <w:t>色谱柱</w:t>
            </w:r>
            <w:r>
              <w:rPr>
                <w:rFonts w:ascii="仿宋" w:eastAsia="仿宋" w:cs="仿宋" w:hint="eastAsia"/>
                <w:color w:val="auto"/>
                <w:sz w:val="24"/>
                <w:szCs w:val="24"/>
              </w:rPr>
              <w:t>2</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十八烷基键合的实心核颗粒色谱柱，孔径90Å，比表面积130 m</w:t>
            </w:r>
            <w:r>
              <w:rPr>
                <w:rFonts w:ascii="仿宋" w:eastAsia="仿宋" w:cs="仿宋" w:hint="eastAsia"/>
                <w:color w:val="auto"/>
                <w:sz w:val="24"/>
                <w:szCs w:val="24"/>
                <w:vertAlign w:val="superscript"/>
              </w:rPr>
              <w:t>2</w:t>
            </w:r>
            <w:r>
              <w:rPr>
                <w:rFonts w:ascii="仿宋" w:eastAsia="仿宋" w:cs="仿宋" w:hint="eastAsia"/>
                <w:color w:val="auto"/>
                <w:sz w:val="24"/>
                <w:szCs w:val="24"/>
              </w:rPr>
              <w:t>/g，2.7μm，2.1x100mm，耐受pH范围2-8，端基封尾，载炭量7 %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6175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6175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40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C18</w:t>
            </w:r>
            <w:r>
              <w:rPr>
                <w:rStyle w:val="45"/>
                <w:rFonts w:ascii="仿宋" w:eastAsia="仿宋" w:cs="仿宋"/>
                <w:color w:val="auto"/>
              </w:rPr>
              <w:t>色谱柱</w:t>
            </w:r>
            <w:r>
              <w:rPr>
                <w:rFonts w:ascii="仿宋" w:eastAsia="仿宋" w:cs="仿宋" w:hint="eastAsia"/>
                <w:color w:val="auto"/>
                <w:sz w:val="24"/>
                <w:szCs w:val="24"/>
              </w:rPr>
              <w:t>3</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十八烷基键合的聚合物包被硅胶色谱柱，孔径100Å，比表面积350 m</w:t>
            </w:r>
            <w:r>
              <w:rPr>
                <w:rFonts w:ascii="仿宋" w:eastAsia="仿宋" w:cs="仿宋" w:hint="eastAsia"/>
                <w:color w:val="auto"/>
                <w:sz w:val="24"/>
                <w:szCs w:val="24"/>
                <w:vertAlign w:val="superscript"/>
              </w:rPr>
              <w:t>2</w:t>
            </w:r>
            <w:r>
              <w:rPr>
                <w:rFonts w:ascii="仿宋" w:eastAsia="仿宋" w:cs="仿宋" w:hint="eastAsia"/>
                <w:color w:val="auto"/>
                <w:sz w:val="24"/>
                <w:szCs w:val="24"/>
              </w:rPr>
              <w:t>/g，3um，2.1x150mm，耐受pH范围1-10，端基封尾，载炭量14 %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4845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4845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41</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C18</w:t>
            </w:r>
            <w:r>
              <w:rPr>
                <w:rStyle w:val="45"/>
                <w:rFonts w:ascii="仿宋" w:eastAsia="仿宋" w:cs="仿宋"/>
                <w:color w:val="auto"/>
              </w:rPr>
              <w:t>色谱柱</w:t>
            </w:r>
            <w:r>
              <w:rPr>
                <w:rFonts w:ascii="仿宋" w:eastAsia="仿宋" w:cs="仿宋" w:hint="eastAsia"/>
                <w:color w:val="auto"/>
                <w:sz w:val="24"/>
                <w:szCs w:val="24"/>
              </w:rPr>
              <w:t>4</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十八烷基键合的有机杂化硅胶色谱柱，三键键合方式，孔径120Å，比表面积340 m</w:t>
            </w:r>
            <w:r>
              <w:rPr>
                <w:rFonts w:ascii="仿宋" w:eastAsia="仿宋" w:cs="仿宋" w:hint="eastAsia"/>
                <w:color w:val="auto"/>
                <w:sz w:val="24"/>
                <w:szCs w:val="24"/>
                <w:vertAlign w:val="superscript"/>
              </w:rPr>
              <w:t>2</w:t>
            </w:r>
            <w:r>
              <w:rPr>
                <w:rFonts w:ascii="仿宋" w:eastAsia="仿宋" w:cs="仿宋" w:hint="eastAsia"/>
                <w:color w:val="auto"/>
                <w:sz w:val="24"/>
                <w:szCs w:val="24"/>
              </w:rPr>
              <w:t>/g，5um，4.6x250mm，耐受pH范围1-12，端基封尾，载炭量19.5%，耐受纯水相</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6175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6175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42</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MS</w:t>
            </w:r>
            <w:r>
              <w:rPr>
                <w:rStyle w:val="45"/>
                <w:rFonts w:ascii="仿宋" w:eastAsia="仿宋" w:cs="仿宋"/>
                <w:color w:val="auto"/>
              </w:rPr>
              <w:t>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弱极性，超高惰性柱，聚亚芳基，1,4-二(二甲基)苯基甲基聚硅氧烷，7英寸柱架，-60 ℃≤耐温≤350 ℃。30m× 0.25 mm，0.25µm</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6175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6175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43</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C18</w:t>
            </w:r>
            <w:r>
              <w:rPr>
                <w:rStyle w:val="45"/>
                <w:rFonts w:ascii="仿宋" w:eastAsia="仿宋" w:cs="仿宋"/>
                <w:color w:val="auto"/>
              </w:rPr>
              <w:t>色谱柱</w:t>
            </w:r>
            <w:r>
              <w:rPr>
                <w:rFonts w:ascii="仿宋" w:eastAsia="仿宋" w:cs="仿宋" w:hint="eastAsia"/>
                <w:color w:val="auto"/>
                <w:sz w:val="24"/>
                <w:szCs w:val="24"/>
              </w:rPr>
              <w:t>5</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十八烷基键合硅胶色谱柱，孔径100Å，比表面积450 m</w:t>
            </w:r>
            <w:r>
              <w:rPr>
                <w:rFonts w:ascii="仿宋" w:eastAsia="仿宋" w:cs="仿宋" w:hint="eastAsia"/>
                <w:color w:val="auto"/>
                <w:sz w:val="24"/>
                <w:szCs w:val="24"/>
                <w:vertAlign w:val="superscript"/>
              </w:rPr>
              <w:t>2</w:t>
            </w:r>
            <w:r>
              <w:rPr>
                <w:rFonts w:ascii="仿宋" w:eastAsia="仿宋" w:cs="仿宋" w:hint="eastAsia"/>
                <w:color w:val="auto"/>
                <w:sz w:val="24"/>
                <w:szCs w:val="24"/>
              </w:rPr>
              <w:t>/g，5um，4.6x150mm，耐受pH范围2-8，端基封尾，载炭量17%</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3325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6650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44</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NH2</w:t>
            </w:r>
            <w:r>
              <w:rPr>
                <w:rStyle w:val="45"/>
                <w:rFonts w:ascii="仿宋" w:eastAsia="仿宋" w:cs="仿宋"/>
                <w:color w:val="auto"/>
              </w:rPr>
              <w:t>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氨基键合硅胶色谱柱，孔径120Å，比表面积300 m</w:t>
            </w:r>
            <w:r>
              <w:rPr>
                <w:rFonts w:ascii="仿宋" w:eastAsia="仿宋" w:cs="仿宋" w:hint="eastAsia"/>
                <w:color w:val="auto"/>
                <w:sz w:val="24"/>
                <w:szCs w:val="24"/>
                <w:vertAlign w:val="superscript"/>
              </w:rPr>
              <w:t>2</w:t>
            </w:r>
            <w:r>
              <w:rPr>
                <w:rFonts w:ascii="仿宋" w:eastAsia="仿宋" w:cs="仿宋" w:hint="eastAsia"/>
                <w:color w:val="auto"/>
                <w:sz w:val="24"/>
                <w:szCs w:val="24"/>
              </w:rPr>
              <w:t>/g，5um，4.6x250mm，耐受pH范围2-8，载炭量4 %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3325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6650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45</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SCX</w:t>
            </w:r>
            <w:r>
              <w:rPr>
                <w:rStyle w:val="45"/>
                <w:rFonts w:ascii="仿宋" w:eastAsia="仿宋" w:cs="仿宋"/>
                <w:color w:val="auto"/>
              </w:rPr>
              <w:t>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磺酸基键合，孔径300Å，比表面积100 m</w:t>
            </w:r>
            <w:r>
              <w:rPr>
                <w:rFonts w:ascii="仿宋" w:eastAsia="仿宋" w:cs="仿宋" w:hint="eastAsia"/>
                <w:color w:val="auto"/>
                <w:sz w:val="24"/>
                <w:szCs w:val="24"/>
                <w:vertAlign w:val="superscript"/>
              </w:rPr>
              <w:t>2</w:t>
            </w:r>
            <w:r>
              <w:rPr>
                <w:rFonts w:ascii="仿宋" w:eastAsia="仿宋" w:cs="仿宋" w:hint="eastAsia"/>
                <w:color w:val="auto"/>
                <w:sz w:val="24"/>
                <w:szCs w:val="24"/>
              </w:rPr>
              <w:t>/g，5um，3.0x50mm，耐受pH范围2-8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3610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3610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46</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五氟苯基色谱柱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 xml:space="preserve">2.6 µm F5 100 Å  100 x 2.1 mm 液相柱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7125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7125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47</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C18 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1、十八烷基硅烷键合亚乙基桥杂化颗粒色谱柱、 耐受性强，对于中-高pH、高浓度盐、流动相含有三乙 胺、高柱温等条件，提供更长柱寿命、液相方法开发优选柱，允许筛选宽泛pH条件、对于碱性分析物，使用高pH条件能够获得更好的保留、 分离和载量</w:t>
              <w:br/>
              <w:t>2、规格：比表面积185，碳载量18%，柱管和筛板添加高性能表面硬件技术显著减少了不必要的分析物/表面相互作用，粒径1.7um，内径2.1mm,长度150mm，带一个一体式保护柱芯</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9975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9975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48</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BEH 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1、酰胺基键合亚乙基桥杂化颗粒色谱柱,设计用于亲水作用色谱保留与分离强极性 分析物，与硅胶氨基柱和硅胶酰胺基柱相比，柱寿命大大增强，糖、糖醇、高极性有机酸、肽、糖肽等分析物HILIC模式</w:t>
              <w:br/>
              <w:t xml:space="preserve">优选柱，对于复杂组分样品，提供与C18正交选择性:如中药/ </w:t>
              <w:br/>
              <w:t>天然产物提取物、肽等，键合相稳定抗流失，兼容MS、ELSD与荧光检测器，pH范围:2-11 ，温度上限:90˚C</w:t>
              <w:br/>
              <w:t>2、规格：比表面积185，碳载量12%，柱管和筛板添加高性能表面硬件技术显著减少了不必要的分析物/表面相互作用，粒径1.7um，内径2.1mm,长度150mm，带一个一体式保护柱芯</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9975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9975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49</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BDS C18分析柱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250x4.6mm 5um BDS C18</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6175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6175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50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阴离子分析柱1</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★阴离子分析柱,4X250MM，适配ICS6000离子色谱仪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19000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19000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51</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阴离子保护柱1</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★阴离子保护柱,4X50MM，适配ICS6000离子色谱仪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6650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6650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52</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阴离子分析柱2</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★阴离子分析柱,4X250MM，适配ICS6000离子色谱仪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19000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19000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53</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阴离子保护柱2</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★阴离子保护柱,4X50MM，适配ICS6000离子色谱仪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6650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6650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54</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DB-1701色谱柱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 xml:space="preserve">1.气相色谱柱，中等极性，-20 °C耐温≤280/300 °C，30 m, 0.25 mm, 0.25 µm，7 英寸柱架. </w:t>
              <w:br/>
              <w:t>★2.适配安捷伦6890、7890、8860 和 8890 气相色谱仪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6837</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6837</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55</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C18色谱柱6</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C18,孔径200Å ,允许误差范围±5 Å, 4.6 x 150 mm, 5 µm，封端，耐温≥60 °C，载碳量≥12.9 %，耐压400Bar，★适配安捷伦液相色谱仪1260，1100，1200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5082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5082</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56</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DB-5MS 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 xml:space="preserve">1.气相色谱柱，弱极性，-60 °C≤耐温≤325/350 °C，30 m, 0.25 mm, 0.25 µm，7 英寸柱架. </w:t>
              <w:br/>
              <w:t>★2.适配安捷伦6890、7890、8860 和 8890 气相色谱仪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7428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7428</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57</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DB-1 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 xml:space="preserve">1.气相色谱柱，弱极性，-60 °C≤耐温≤325/350 °C，30 m, 0.25 mm, 0.25 µm，7 英寸柱架. </w:t>
              <w:br/>
              <w:t>★2.适配安捷伦6890、7890、8860 和 8890 气相色谱仪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6584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6584</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58</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XDB-C18 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C18，孔径 80Å，允许误差范围±5 Å,4.6 x 250 mm, 5 µm,双封端，耐温≥60 °C，载碳量≥10 %，耐压400 bar，适配安捷伦液相色谱仪1260，1100，1200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6614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6614</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59</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EC-C18色谱柱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C18，孔径120 Å，允许误差范围±5 Å,4.6 x 100 mm, 2.7 µm. 耐温≥ 60 °C，载碳量≥10 %，耐压600Bar，适配安捷伦液相色谱仪1260，1100，1200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7533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7533</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60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C8色谱柱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色谱柱C18  孔径 95Å，允许误差范围±5 Å，4.6 × 250 mm, 5 μm,耐压≥400 bar,耐温≥60 °C，双封端，载碳量≥9%，适配安捷伦液相色谱仪1260，1100，1200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6688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6688</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61</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SB-C18色谱柱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色谱柱C18孔径80 Å，允许误差范围±5 Å， 4.6x250mm，5um,耐压≥ 400 bar,耐温≥90 °C，未封端，载炭量≥10 %，适配安捷伦液相色谱仪1260，1100，1200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6614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6614</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62</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300-SCX色谱柱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色谱柱阳离子交换柱孔300 Å，允许误差范围±5 Å， 4.6x150mm，5um,耐压≥ 350 bar,耐温≥80 °C，适配安捷伦液相色谱仪1260，1100，1200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5397</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5397</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63</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PFP 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色谱柱PFP 孔径120 Å，允许误差范围±5 Å， 2.1 x 100 mm, 2.7 µm,耐压≥ 600 bar,耐温≥60 °C，封端，载炭量≥5.1 %，适配安捷伦液相色谱仪1260，1100，1200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7533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7533</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64</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LC GP-C30色谱柱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色谱柱C30  孔径120 Å，允许误差范围±5 Å， 4.6x250mm，3um,耐压≥ 400 bar,耐温≥60 °C，适配安捷伦液相色谱仪1260，1100，1200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6903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6903</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65</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PAH 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色谱柱PAH， 孔径95 Å，允许误差范围±5 Å， 2.1 x 100 mm, 1.8 µm,耐压≥ 600 bar,耐温≥60 °C，伟封端，载炭量≥14 %，适配安捷伦液相色谱仪1260，1100，1200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7140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7140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66</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DB-WAXETR色谱柱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 xml:space="preserve">1.气相色谱柱，强极性，30 °C≤耐温≤40/260 °C，60 m, 0.53 mm, 1.0 µm，7 英寸柱架. </w:t>
              <w:br/>
              <w:t>2.适配安捷伦6890、7890、8860 和 8890 气相色谱仪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13045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13045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67</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HP-5色谱柱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 xml:space="preserve">1.气相色谱柱，弱极性，-60 °C≤耐温≤25/350 °C，30 m, 0.25 mm, 0.25 µm，7 英寸柱架。 </w:t>
              <w:br/>
              <w:t>2.适配安捷伦6890、7890、8860 和 8890 气相色谱仪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6584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6584</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68</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氘灯 1</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氘灯，带 RFID，用于 DAD/MWD,适用于安捷伦液相色谱仪 G7115A，G1315C/D模块，1260，1200，1100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12785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12785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69</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快速连接接头组件</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快速连接接头组件，带预先固定的 0.12 x 105 mm 毛细管，快速连接接头，带预先固定的不锈钢毛细管和  接头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4022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套</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8044</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70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PTFE滤芯</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★PTFE 滤芯，5/包. 用于 1290 Infinity 二元泵和所有 1260 Infinity/1200 系列/1100 系列分析泵</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532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3</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包</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1596</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71</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转子密封垫</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★用于安捷伦液相设备 G1329B、G1367C、G1367D、G1367E模块</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6512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13024</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72</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柱塞杆密封圈</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★用于安捷伦液相色谱仪1100/1200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1745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包</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3490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73</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60CM不锈钢毛细管</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不锈钢毛细管，0.17 x 600 mm</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525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3</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1575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74</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在线过滤器组件</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★在线过滤器组件，用于安捷伦液相色谱仪柱前. 包括 5 个滤盘（内径 4.6 mm，孔径 0.5 µm）</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6435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12870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75</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9CM不锈钢毛细管</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★不锈钢毛细管，0.17 x 90 mm，适用于安捷伦液相色谱仪1100/1200/1260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868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1736</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76</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入口阀阀芯</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 xml:space="preserve">★主动入口阀阀芯，400 bar  适用于安捷伦仪器 </w:t>
              <w:br/>
              <w:t>G1310A/G1311A/G1311C/G1312A/G1312C/G1376A/G2226A</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3240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6480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77</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进样针 1</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ALS 进样针，10 µL，固定式针头，23-26s/42/锥形针尖，6/包.金标 23-26S 锥形针头微量进样针。</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3927</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盒</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7854</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78</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分流平板 1</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★分流/不分流进样口密封垫，10/pk，适配于安捷伦气相色谱仪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4940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4940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79</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石墨压环0.4（适用于0.1-0.25mm）</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★密封垫圈，内径 0.4 mm，石墨，适用于 0.05 mm 至 0.25 mm 色谱柱，10/包. 适用于高达 450 °C 的柱温箱温度，适配于安捷伦气相色谱仪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503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盒</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1006</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80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石墨压环0.5（适用于0.32mm）</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★石墨密封垫圈，短型，内径 0.5 mm，适用于 0.32 mm 色谱柱，10/包，适配于安捷伦气相色谱仪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740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盒</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1480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81</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石墨压环0.8（适用于0.45-0.53mm）</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★密封垫圈，内径 0.8 mm，石墨，适用于 0.45 mm 至 0.53 mm 色谱柱，10/包. 适用于高达 450 °C 的 GC 柱温箱温度。适配于安捷伦气相色谱仪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503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盒</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1006</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82</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衬管1</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★单锥，分流，体积870 µL，内径4mm，外径6.25mm，长度78.5 mm鹅颈衬管中的玻璃毛位于中部,适配于安捷伦气相色谱仪</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518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5</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2590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83</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液相密封圈 1</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★PLUNGER SEAL,BACKUP RING GFP / 密封圈，适用于LC-40BX3、40BXR</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950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6</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5700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84</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液相密封圈 2</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★机械密封圈PLUNGER SEAL,BACKUP RING UHP，用于LC-30AD输液单元</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1624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4</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6496</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85</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不锈钢管路</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不★锈钢管路SUS-PIPE ID0.3X700，用于LC-30AD，从LC-30AD的在线过滤器上连接到混合器的接头及管路</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2708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5416</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86</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氘灯 2</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★二极管阵列检测器，PDA,DAD用氘灯，适配于岛津二极管阵列检测器LC-2040C</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5719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5719</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87</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进样针 2</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★进样针，10uL适用AOC-20i,S-0.63,固定针头</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687</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盒</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1374</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88</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衬管2</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分流衬管，惰性化处理,内附石英棉，5个/包，用于岛津GCMS-QP2020/ 2020NX</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1425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盒</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1425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89</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石墨压环0.5</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★石墨垫0.5，0.10-0.32mm内径毛细柱用，10个/包，用于岛津GC-2030AF/AT/AFT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627</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盒</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1254</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90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石墨压环0.8</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★石墨垫0.8，0.45-0.53mm内径毛细柱用，10个/包，用于岛津GC-2010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627</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盒</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627</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91</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岛津顶空进样针</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Inert Coating Needle id0.6 / 进样针</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5795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11590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92</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柱塞密封圈</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★计量泵柱塞密封垫，用于岛津SIL-20A(C)XR</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1022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8</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8176</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93</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DL管</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★DL组件，用于岛津LCMS-8060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7525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15050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94</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流量阀</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★流量阀，用于岛津LC-30AD输液单元</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1846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3692</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95</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喷针</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★ESI喷针，用于岛津LCMS-8040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930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1860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96</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入口单向阀 1</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★入口单向阀CV,IN-UHP，用于岛津LC-30AD输液单元</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2594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5188</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97</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出口单向阀 1</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★出口单向阀CheckValve,OUT-UHP-F，用于岛津LC-30AD输液单元</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2388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4776</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98</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吸滤头 1</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★吸滤头ELEMENT, SUS FILTER，用于岛津LC-10ADvp</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552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10</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5520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99</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APCI喷针</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★APCI PIPE ASSY(2020)，用于岛津LCMS-2020 APCI离子源</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789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789</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100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离子色谱氢氧化钾淋洗液罐</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最大浓度0.1 至 100 mM，流速0.01-3.00 mL/min.适用于（设备）Integrion、ICS-5000+、ICS-6000 HPIC 系统，压力最大值：34.5 MPa (5000 psi)</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37335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37335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101</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浅棕色隔垫</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适配岛津4ml气相进样瓶，浅棕色硅胶隔垫/棕色PTFE，50个/包</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412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4</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盒</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1648</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102</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胶圈</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★O型圈O-RING,4D P5X5用于岛津GC-2010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5</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袋</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340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103</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灯丝</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★灯丝FILAMENT D ASSY，用于岛津GCMS-TQ8030/TQ8040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2090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4</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8360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104</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不分流称管</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★衬管，5个/包，不分流，硅烷化处理，内含石英棉，用于岛津GC-2030AF/AT/AFT</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1805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15</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盒</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27075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105</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绿色隔垫</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★进样垫，绿色，低流失，耐受350度，25个/包，用于岛津GC-2010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1349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5</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盒</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6745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106</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石墨垫</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★石墨压环(0.25mm用)10个/包,用于岛津GCMS-TQ8030 /TQ8040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568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5</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盒</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2840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107</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橡胶接头</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 xml:space="preserve">★橡胶接头，1/16，适配waters ACQUITY UPLC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484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包</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484</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108</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预加热器</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★预加热器，适配waters ACQUITY UPLC H-Class</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14140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14140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109</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镀金压缩螺丝</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★压缩螺杆, 10-32, SS，10/pk，适配waters ACQUITY UPLC</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2646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包</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2646</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110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金属接头套装</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★插芯套装 | 1/16英寸 ID | 两件式，适配waters UPC2, HPLC, UPLC</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922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包</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922</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111</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不锈钢管线</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★油管组件，喷油器 to CM-A Switch在g 阀门, High Pressure，适配ACQUITY Arc, ACQUITY UPLC H-Class, UPLC Detectors, APC,</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2033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4066</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112</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样品环 50μL</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★定量环SAMPLE LOOP ASSY 5O,用于岛津SIL-30AC自动进样器</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3381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6762</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113</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高压阀转子 30A</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★高压阀转子 Rotor, 2 position 6 port，用于SIL-30AC自动进样器</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4750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9500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114</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高压阀定子 30A</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★高压阀定子HIGH-PRESSURE VALVE STATOR 30A，用于岛津SIL-30AC自动进样器</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18460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36920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115</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针管密封圈 30A (标准）</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针密封NEEDLE SEAL 30A，用于岛津SIL-30AC自动进样器</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1423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2846</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116</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氮气捕集肼</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大容量通过捕集阱，1/8英寸，250psig，氮气</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3705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3</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11115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117</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氢气捕集阱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大容量通过捕集阱，1/8英寸，250psig，氢气</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3705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7410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118</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分流平板 2</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密封垫，带垫圈的超高惰性分流平板，10个/包</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3800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3800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119</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内部捕集阱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分流出口可更换捕集阱芯，2个/包</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1710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3</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5130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120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气体过滤器套件</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★3 Filters Kit - 1/8" SS for FID，适配岛津气相色谱仪GC-2030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4655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9310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121</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转子</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★Rotor HPV SIL 30,Rotor, 2 position 6 port，适配岛津液相SIL-30AC</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5795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5795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122</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密封针</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★NEEDLE SEAL 30A，用于SIL-30AC自动进样器</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1048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2096</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123</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高压阀定子</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 xml:space="preserve">★SIL-30AC 专用 替换标准: 20,000 次进样，HIGH-PRESSURE VALVE STATOR 30A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12465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12465</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124</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弹簧 1</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★SPRING SHIMDZ COMPRESSION UF6-4，适配岛津液相SIL-30AC</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3</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114</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125</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弹簧 2</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★2 Nut SPr，适配岛津液相SIL-30AC</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92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3</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276</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126</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质谱调谐液</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★适配于AB4500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9170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9170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127</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废液过滤器 1</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★SP-0007A(6个月建议更换）</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283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3396</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128</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废液过滤器 2</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★SP-0007B(12个月建议更换）</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369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4428</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129</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不锈钢连接管</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★SUS PIPE ID 0.1X60，使用CTO-20A系列时与色谱柱的连接配管，</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2183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4366</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130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接头</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 xml:space="preserve">1个装，UHPLC FITTING 2 S / UHPLC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623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4</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2492</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131</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气体过滤器</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SHC-B1011-S8，Shimadzu 1 Triple for He(GC-MS) Filter Kit - 1/8" SS</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1695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6</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10170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132</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出口单向阀 2</w:t>
            </w:r>
          </w:p>
        </w:tc>
        <w:tc>
          <w:tcPr>
            <w:tcW w:w="4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★用于LC-30AD输液单元</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2328</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4656</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133</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机械密封圈 1</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★用于LC-30AD输液单元（低压）</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1625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4</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6500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134</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吸滤头 2</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★用于LC-30AD输液单元</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552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1104</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135</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PEEK针座密封垫</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★用于SIL-30AC自动进样器</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1764</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3528</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136</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入口单向阀 2</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★用于LC-40DXS</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2330</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4660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137</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出口单向阀 3</w:t>
            </w:r>
          </w:p>
        </w:tc>
        <w:tc>
          <w:tcPr>
            <w:tcW w:w="4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★用于LC-40DXS</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2330</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4660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138</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机械密封圈 2</w:t>
            </w:r>
          </w:p>
        </w:tc>
        <w:tc>
          <w:tcPr>
            <w:tcW w:w="4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★用于LC-40DXS（高压）</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1625</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3250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139</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理化二室</w:t>
            </w:r>
          </w:p>
        </w:tc>
        <w:tc>
          <w:tcPr>
            <w:tcW w:w="1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进样针座密封垫</w:t>
            </w:r>
          </w:p>
        </w:tc>
        <w:tc>
          <w:tcPr>
            <w:tcW w:w="4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★40CXS</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870</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1740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140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泸州分部</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气相色谱柱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w:t>
            </w:r>
            <w:r>
              <w:rPr>
                <w:rStyle w:val="46"/>
                <w:rFonts w:ascii="仿宋" w:eastAsia="仿宋" w:cs="仿宋"/>
                <w:color w:val="auto"/>
              </w:rPr>
              <w:t>HP-5MS UI毛细管柱</w:t>
            </w:r>
            <w:r>
              <w:rPr>
                <w:rFonts w:ascii="仿宋" w:eastAsia="仿宋" w:cs="仿宋" w:hint="eastAsia"/>
                <w:color w:val="auto"/>
                <w:sz w:val="24"/>
                <w:szCs w:val="24"/>
              </w:rPr>
              <w:t xml:space="preserve">, </w:t>
            </w:r>
            <w:r>
              <w:rPr>
                <w:rStyle w:val="46"/>
                <w:rFonts w:ascii="仿宋" w:eastAsia="仿宋" w:cs="仿宋"/>
                <w:color w:val="auto"/>
              </w:rPr>
              <w:t xml:space="preserve">柱长30 </w:t>
            </w:r>
            <w:r>
              <w:rPr>
                <w:rFonts w:ascii="仿宋" w:eastAsia="仿宋" w:cs="仿宋" w:hint="eastAsia"/>
                <w:color w:val="auto"/>
                <w:sz w:val="24"/>
                <w:szCs w:val="24"/>
              </w:rPr>
              <w:t xml:space="preserve">m, </w:t>
            </w:r>
            <w:r>
              <w:rPr>
                <w:rStyle w:val="46"/>
                <w:rFonts w:ascii="仿宋" w:eastAsia="仿宋" w:cs="仿宋"/>
                <w:color w:val="auto"/>
              </w:rPr>
              <w:t>内径</w:t>
            </w:r>
            <w:r>
              <w:rPr>
                <w:rFonts w:ascii="仿宋" w:eastAsia="仿宋" w:cs="仿宋" w:hint="eastAsia"/>
                <w:color w:val="auto"/>
                <w:sz w:val="24"/>
                <w:szCs w:val="24"/>
              </w:rPr>
              <w:t xml:space="preserve">0.25 mm, </w:t>
            </w:r>
            <w:r>
              <w:rPr>
                <w:rStyle w:val="46"/>
                <w:rFonts w:ascii="仿宋" w:eastAsia="仿宋" w:cs="仿宋"/>
                <w:color w:val="auto"/>
              </w:rPr>
              <w:t>膜厚</w:t>
            </w:r>
            <w:r>
              <w:rPr>
                <w:rFonts w:ascii="仿宋" w:eastAsia="仿宋" w:cs="仿宋" w:hint="eastAsia"/>
                <w:color w:val="auto"/>
                <w:sz w:val="24"/>
                <w:szCs w:val="24"/>
              </w:rPr>
              <w:t>0.25 μm,</w:t>
            </w:r>
            <w:r>
              <w:rPr>
                <w:rStyle w:val="46"/>
                <w:rFonts w:ascii="仿宋" w:eastAsia="仿宋" w:cs="仿宋"/>
                <w:color w:val="auto"/>
              </w:rPr>
              <w:t>，适用于</w:t>
            </w:r>
            <w:r>
              <w:rPr>
                <w:rFonts w:ascii="仿宋" w:eastAsia="仿宋" w:cs="仿宋" w:hint="eastAsia"/>
                <w:color w:val="auto"/>
                <w:sz w:val="24"/>
                <w:szCs w:val="24"/>
              </w:rPr>
              <w:t xml:space="preserve">Agilent </w:t>
            </w:r>
            <w:r>
              <w:rPr>
                <w:rStyle w:val="46"/>
                <w:rFonts w:ascii="仿宋" w:eastAsia="仿宋" w:cs="仿宋"/>
                <w:color w:val="auto"/>
              </w:rPr>
              <w:t>气相色谱质谱联用仪</w:t>
            </w:r>
            <w:r>
              <w:rPr>
                <w:rFonts w:ascii="仿宋" w:eastAsia="仿宋" w:cs="仿宋" w:hint="eastAsia"/>
                <w:color w:val="auto"/>
                <w:sz w:val="24"/>
                <w:szCs w:val="24"/>
              </w:rPr>
              <w:t>7890A-5975C</w:t>
            </w:r>
            <w:r>
              <w:rPr>
                <w:rStyle w:val="45"/>
                <w:rFonts w:ascii="仿宋" w:eastAsia="仿宋" w:cs="仿宋"/>
                <w:color w:val="auto"/>
              </w:rPr>
              <w:t>，</w:t>
            </w:r>
            <w:r>
              <w:rPr>
                <w:rStyle w:val="47"/>
                <w:rFonts w:ascii="仿宋" w:eastAsia="仿宋" w:cs="仿宋"/>
                <w:color w:val="auto"/>
              </w:rPr>
              <w:t>部件号：</w:t>
            </w:r>
            <w:r>
              <w:rPr>
                <w:rStyle w:val="48"/>
                <w:rFonts w:ascii="仿宋" w:eastAsia="仿宋" w:cs="仿宋"/>
                <w:color w:val="auto"/>
              </w:rPr>
              <w:t>19091S-433UI。</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8000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8000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141</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泸州分部</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点火线圈</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Style w:val="46"/>
                <w:rFonts w:ascii="仿宋" w:eastAsia="仿宋" w:cs="仿宋"/>
                <w:color w:val="auto"/>
              </w:rPr>
              <w:t>适配安捷伦气相色谱仪7890B，</w:t>
            </w:r>
            <w:r>
              <w:rPr>
                <w:rStyle w:val="48"/>
                <w:rFonts w:ascii="仿宋" w:eastAsia="仿宋" w:cs="仿宋"/>
                <w:color w:val="auto"/>
              </w:rPr>
              <w:t>部件号：19231-60680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1026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根</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1026</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142</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泸州分部</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超惰性不分流衬管</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Style w:val="47"/>
                <w:rFonts w:ascii="仿宋" w:eastAsia="仿宋" w:cs="仿宋"/>
                <w:color w:val="auto"/>
              </w:rPr>
              <w:t>部件号：5190-2293，</w:t>
            </w:r>
            <w:r>
              <w:rPr>
                <w:rStyle w:val="45"/>
                <w:rFonts w:ascii="仿宋" w:eastAsia="仿宋" w:cs="仿宋"/>
                <w:color w:val="auto"/>
              </w:rPr>
              <w:t>适配于安捷伦气相色谱仪7890B。</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607</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支</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607</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143</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泸州分部</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石墨垫（短）</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Style w:val="47"/>
                <w:rFonts w:ascii="仿宋" w:eastAsia="仿宋" w:cs="仿宋"/>
                <w:color w:val="auto"/>
              </w:rPr>
              <w:t>货号：5181-3323，</w:t>
            </w:r>
            <w:r>
              <w:rPr>
                <w:rStyle w:val="45"/>
                <w:rFonts w:ascii="仿宋" w:eastAsia="仿宋" w:cs="仿宋"/>
                <w:color w:val="auto"/>
              </w:rPr>
              <w:t>适配安捷伦气相色谱仪7890B</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956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包</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956</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144</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泸州分部</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纯水机过滤柱1</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▲适配密理博纯水机，参考货号：PR0G000T3，或等效柱</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4999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支</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4999</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145</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泸州分部</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纯水机过滤柱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▲适配密理博纯水机，参考货号：QPAK00TEX，或等效柱</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5130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支</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5130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146</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德阳分部</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氨基或氨丙基反相液相色谱柱1</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Ultimate XB-NH2，250mm*4.6mm，5um</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3500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支</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3500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147</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德阳分部</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氨基或氨丙基反相液相色谱柱</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 xml:space="preserve">Shim-pack GIST NH2,4.6x250mm，5um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3500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支</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7000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148</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德阳分部</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进样针</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适配北京吉天原子荧光分光光度计AFS-930d，5支/盒</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盒</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200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149</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德阳分部</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样品管</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适配北京吉天原子荧光分光光度计AFS-930d160位进样盘，500支/袋,10mL</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300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盒</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600</w:t>
            </w:r>
          </w:p>
        </w:tc>
      </w:tr>
      <w:t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150</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德阳分部</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ICP 矩管</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left"/>
              <w:textAlignment w:val="center"/>
              <w:rPr>
                <w:rFonts w:ascii="仿宋" w:eastAsia="仿宋" w:cs="仿宋"/>
                <w:color w:val="auto"/>
                <w:sz w:val="24"/>
                <w:szCs w:val="24"/>
              </w:rPr>
            </w:pPr>
            <w:r>
              <w:rPr>
                <w:rFonts w:ascii="仿宋" w:eastAsia="仿宋" w:cs="仿宋" w:hint="eastAsia"/>
                <w:color w:val="auto"/>
                <w:sz w:val="24"/>
                <w:szCs w:val="24"/>
              </w:rPr>
              <w:t>适配等离子发射光谱仪（利曼PRODIGY XP）</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15000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center"/>
              <w:textAlignment w:val="center"/>
              <w:rPr>
                <w:rFonts w:ascii="仿宋" w:eastAsia="仿宋" w:cs="仿宋"/>
                <w:color w:val="auto"/>
                <w:sz w:val="24"/>
                <w:szCs w:val="24"/>
              </w:rPr>
            </w:pPr>
            <w:r>
              <w:rPr>
                <w:rFonts w:ascii="仿宋" w:eastAsia="仿宋" w:cs="仿宋" w:hint="eastAsia"/>
                <w:color w:val="auto"/>
                <w:sz w:val="24"/>
                <w:szCs w:val="24"/>
              </w:rPr>
              <w:t>个</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napToGrid w:val="0"/>
              <w:jc w:val="right"/>
              <w:textAlignment w:val="center"/>
              <w:rPr>
                <w:rFonts w:ascii="仿宋" w:eastAsia="仿宋" w:cs="仿宋"/>
                <w:color w:val="auto"/>
                <w:sz w:val="24"/>
                <w:szCs w:val="24"/>
              </w:rPr>
            </w:pPr>
            <w:r>
              <w:rPr>
                <w:rFonts w:ascii="仿宋" w:eastAsia="仿宋" w:cs="仿宋" w:hint="eastAsia"/>
                <w:color w:val="auto"/>
                <w:sz w:val="24"/>
                <w:szCs w:val="24"/>
              </w:rPr>
              <w:t>15000</w:t>
            </w:r>
          </w:p>
        </w:tc>
      </w:tr>
    </w:tbl>
    <w:p>
      <w:pPr>
        <w:pStyle w:val="4"/>
        <w:spacing w:before="0" w:after="0" w:line="500" w:lineRule="exact"/>
        <w:rPr>
          <w:rFonts w:ascii="仿宋" w:eastAsia="仿宋" w:cs="仿宋"/>
          <w:color w:val="auto"/>
          <w:sz w:val="28"/>
          <w:szCs w:val="28"/>
        </w:rPr>
      </w:pPr>
      <w:r>
        <w:rPr>
          <w:rFonts w:ascii="宋体" w:eastAsia="宋体" w:cs="宋体" w:hint="eastAsia"/>
          <w:bCs/>
          <w:color w:val="auto"/>
          <w:sz w:val="28"/>
          <w:szCs w:val="28"/>
        </w:rPr>
        <w:t>★</w:t>
      </w:r>
      <w:r>
        <w:rPr>
          <w:rFonts w:ascii="仿宋" w:eastAsia="仿宋" w:cs="仿宋" w:hint="eastAsia"/>
          <w:bCs/>
          <w:color w:val="auto"/>
          <w:sz w:val="28"/>
          <w:szCs w:val="28"/>
        </w:rPr>
        <w:t>三</w:t>
      </w:r>
      <w:r>
        <w:rPr>
          <w:rFonts w:ascii="仿宋" w:eastAsia="仿宋" w:cs="仿宋" w:hint="eastAsia"/>
          <w:color w:val="auto"/>
          <w:sz w:val="28"/>
          <w:szCs w:val="28"/>
        </w:rPr>
        <w:t>、服务要求（实质性要求）</w:t>
      </w:r>
    </w:p>
    <w:p>
      <w:pPr>
        <w:tabs>
          <w:tab w:val="left" w:pos="630"/>
        </w:tabs>
        <w:spacing w:line="500" w:lineRule="exact"/>
        <w:ind w:firstLineChars="200" w:firstLine="560"/>
        <w:textAlignment w:val="baseline"/>
        <w:rPr>
          <w:rFonts w:ascii="仿宋" w:eastAsia="仿宋" w:cs="仿宋"/>
          <w:color w:val="auto"/>
          <w:sz w:val="28"/>
          <w:szCs w:val="28"/>
        </w:rPr>
      </w:pPr>
      <w:r>
        <w:rPr>
          <w:rFonts w:ascii="仿宋" w:eastAsia="仿宋" w:cs="仿宋" w:hint="eastAsia"/>
          <w:color w:val="auto"/>
          <w:sz w:val="28"/>
          <w:szCs w:val="28"/>
        </w:rPr>
        <w:t xml:space="preserve">（1）中标人按合同交付货物给采购人时，中标人提供的清单内所有的试剂、耗材须在产品有效期（质保期）内，且所供产品剩余有效期（保质期）原则上不得少于标示有效期（保质期）的三分之二。所投商品出现有质量问题（含破损）时，中标人须在2工作日内响应并在7个工作日内完成更换。因特殊原因无法按时更换的，需在保证采购人工作不受影响的情况下，征得采购人同意，双方协商一致后，按照新的预定时间完成更换。 </w:t>
      </w:r>
    </w:p>
    <w:p>
      <w:pPr>
        <w:tabs>
          <w:tab w:val="left" w:pos="630"/>
        </w:tabs>
        <w:spacing w:line="500" w:lineRule="exact"/>
        <w:ind w:firstLineChars="200" w:firstLine="560"/>
        <w:textAlignment w:val="baseline"/>
        <w:rPr>
          <w:rFonts w:ascii="仿宋" w:eastAsia="仿宋" w:cs="仿宋"/>
          <w:color w:val="auto"/>
          <w:sz w:val="28"/>
          <w:szCs w:val="28"/>
        </w:rPr>
      </w:pPr>
      <w:r>
        <w:rPr>
          <w:rFonts w:ascii="仿宋" w:eastAsia="仿宋" w:cs="仿宋" w:hint="eastAsia"/>
          <w:color w:val="auto"/>
          <w:sz w:val="28"/>
          <w:szCs w:val="28"/>
        </w:rPr>
        <w:t>产品需要更换时，如遇到无故拖延更换（超过7个工作日）或者不予响应（超过14天）时，采购人有权退货，并暂停中标人参与采购人本年度及下一年度此类产品的投标资格。</w:t>
      </w:r>
    </w:p>
    <w:p>
      <w:pPr>
        <w:tabs>
          <w:tab w:val="left" w:pos="630"/>
        </w:tabs>
        <w:spacing w:line="500" w:lineRule="exact"/>
        <w:ind w:firstLineChars="200" w:firstLine="560"/>
        <w:textAlignment w:val="baseline"/>
        <w:rPr>
          <w:rFonts w:ascii="仿宋" w:eastAsia="仿宋" w:cs="仿宋"/>
          <w:color w:val="auto"/>
          <w:sz w:val="28"/>
          <w:szCs w:val="28"/>
        </w:rPr>
      </w:pPr>
      <w:r>
        <w:rPr>
          <w:rFonts w:ascii="仿宋" w:eastAsia="仿宋" w:cs="仿宋" w:hint="eastAsia"/>
          <w:color w:val="auto"/>
          <w:sz w:val="28"/>
          <w:szCs w:val="28"/>
        </w:rPr>
        <w:t>中标产品在其使用全生命周期中，如发现其为假冒产品或进货渠道违反国家相关法律法规的，采购人有权退货，并追究中标人法律责任。</w:t>
      </w:r>
    </w:p>
    <w:p>
      <w:pPr>
        <w:tabs>
          <w:tab w:val="left" w:pos="630"/>
        </w:tabs>
        <w:spacing w:line="500" w:lineRule="exact"/>
        <w:ind w:firstLineChars="200" w:firstLine="560"/>
        <w:textAlignment w:val="baseline"/>
        <w:rPr>
          <w:rFonts w:ascii="仿宋" w:eastAsia="仿宋" w:cs="仿宋"/>
          <w:color w:val="auto"/>
          <w:sz w:val="28"/>
          <w:szCs w:val="28"/>
        </w:rPr>
      </w:pPr>
      <w:r>
        <w:rPr>
          <w:rFonts w:ascii="仿宋" w:eastAsia="仿宋" w:cs="仿宋" w:hint="eastAsia"/>
          <w:color w:val="auto"/>
          <w:sz w:val="28"/>
          <w:szCs w:val="28"/>
        </w:rPr>
        <w:t>（2）中标人对采购人提出的采购需求，需在 24 小时内响应。中标人所供产品出现质量问题后在接到使用单位服务要求后应在1小时之内作出响应。如果使用单位需要，应在48小时之内派出专业技术人员到使用单位现场调查核实实际情况，同时在 48小时内提供同型号、同规格的货物，其中发生一切费用由中标人承担。</w:t>
      </w:r>
    </w:p>
    <w:p>
      <w:pPr>
        <w:tabs>
          <w:tab w:val="left" w:pos="630"/>
        </w:tabs>
        <w:spacing w:line="500" w:lineRule="exact"/>
        <w:ind w:firstLineChars="200" w:firstLine="560"/>
        <w:textAlignment w:val="baseline"/>
        <w:rPr>
          <w:rFonts w:ascii="仿宋" w:eastAsia="仿宋" w:cs="仿宋"/>
          <w:color w:val="auto"/>
          <w:sz w:val="28"/>
          <w:szCs w:val="28"/>
        </w:rPr>
      </w:pPr>
      <w:r>
        <w:rPr>
          <w:rFonts w:ascii="仿宋" w:eastAsia="仿宋" w:cs="仿宋" w:hint="eastAsia"/>
          <w:color w:val="auto"/>
          <w:sz w:val="28"/>
          <w:szCs w:val="28"/>
        </w:rPr>
        <w:t xml:space="preserve">（3）对于需要低温冷藏保存的产品，中标人在运输过程中须采用冷链运输方式。 </w:t>
      </w:r>
    </w:p>
    <w:p>
      <w:pPr>
        <w:tabs>
          <w:tab w:val="left" w:pos="630"/>
        </w:tabs>
        <w:spacing w:line="500" w:lineRule="exact"/>
        <w:ind w:firstLineChars="200" w:firstLine="560"/>
        <w:textAlignment w:val="baseline"/>
        <w:rPr>
          <w:rFonts w:ascii="仿宋" w:eastAsia="仿宋" w:cs="仿宋"/>
          <w:color w:val="auto"/>
          <w:sz w:val="28"/>
          <w:szCs w:val="28"/>
        </w:rPr>
      </w:pPr>
      <w:r>
        <w:rPr>
          <w:rFonts w:ascii="仿宋" w:eastAsia="仿宋" w:cs="仿宋" w:hint="eastAsia"/>
          <w:color w:val="auto"/>
          <w:sz w:val="28"/>
          <w:szCs w:val="28"/>
        </w:rPr>
        <w:t xml:space="preserve">（4）交货验收前的一切费用（包括包装、运输等）、风险（包括损坏、失效等） 均由中标人承担。 </w:t>
      </w:r>
    </w:p>
    <w:p>
      <w:pPr>
        <w:tabs>
          <w:tab w:val="left" w:pos="630"/>
        </w:tabs>
        <w:spacing w:line="500" w:lineRule="exact"/>
        <w:ind w:firstLineChars="200" w:firstLine="560"/>
        <w:textAlignment w:val="baseline"/>
        <w:rPr>
          <w:rFonts w:ascii="仿宋" w:eastAsia="仿宋" w:cs="仿宋"/>
          <w:color w:val="auto"/>
          <w:sz w:val="28"/>
          <w:szCs w:val="28"/>
        </w:rPr>
      </w:pPr>
      <w:r>
        <w:rPr>
          <w:rFonts w:ascii="仿宋" w:eastAsia="仿宋" w:cs="仿宋" w:hint="eastAsia"/>
          <w:color w:val="auto"/>
          <w:sz w:val="28"/>
          <w:szCs w:val="28"/>
        </w:rPr>
        <w:t>（5）中标人应保证所供货物为品牌制造商原厂生产、原包装、全新未使用过的产品。中标人对所供产品的质量负责并保证能正常运行使用，根据采购人需求， 对采购人使用人员提供必要的技术支持及相应的培训。</w:t>
      </w:r>
    </w:p>
    <w:p>
      <w:pPr>
        <w:tabs>
          <w:tab w:val="left" w:pos="630"/>
        </w:tabs>
        <w:spacing w:line="500" w:lineRule="exact"/>
        <w:ind w:firstLineChars="200" w:firstLine="560"/>
        <w:textAlignment w:val="baseline"/>
        <w:rPr>
          <w:rFonts w:ascii="仿宋" w:eastAsia="仿宋" w:cs="仿宋"/>
          <w:color w:val="auto"/>
          <w:sz w:val="28"/>
          <w:szCs w:val="28"/>
        </w:rPr>
      </w:pPr>
      <w:r>
        <w:rPr>
          <w:rFonts w:ascii="仿宋" w:eastAsia="仿宋" w:cs="仿宋" w:hint="eastAsia"/>
          <w:color w:val="auto"/>
          <w:sz w:val="28"/>
          <w:szCs w:val="28"/>
        </w:rPr>
        <w:t xml:space="preserve">（6）中标人所供产品具有合法手续及相关文件。 </w:t>
      </w:r>
    </w:p>
    <w:p>
      <w:pPr>
        <w:tabs>
          <w:tab w:val="left" w:pos="630"/>
        </w:tabs>
        <w:spacing w:line="500" w:lineRule="exact"/>
        <w:ind w:firstLineChars="200" w:firstLine="560"/>
        <w:textAlignment w:val="baseline"/>
        <w:rPr>
          <w:rFonts w:ascii="仿宋" w:eastAsia="仿宋" w:cs="仿宋"/>
          <w:color w:val="auto"/>
          <w:sz w:val="28"/>
          <w:szCs w:val="28"/>
        </w:rPr>
      </w:pPr>
      <w:r>
        <w:rPr>
          <w:rFonts w:ascii="仿宋" w:eastAsia="仿宋" w:cs="仿宋" w:hint="eastAsia"/>
          <w:color w:val="auto"/>
          <w:sz w:val="28"/>
          <w:szCs w:val="28"/>
        </w:rPr>
        <w:t>（7）采购人认为必要时，中标人需提供产品的中文版使用说明书和中文版相关资料。</w:t>
      </w:r>
    </w:p>
    <w:p>
      <w:pPr>
        <w:tabs>
          <w:tab w:val="left" w:pos="630"/>
        </w:tabs>
        <w:spacing w:line="500" w:lineRule="exact"/>
        <w:ind w:firstLineChars="200" w:firstLine="560"/>
        <w:textAlignment w:val="baseline"/>
        <w:rPr>
          <w:rFonts w:ascii="仿宋" w:eastAsia="仿宋" w:cs="仿宋"/>
          <w:color w:val="auto"/>
          <w:sz w:val="28"/>
          <w:szCs w:val="28"/>
        </w:rPr>
      </w:pPr>
      <w:r>
        <w:rPr>
          <w:rFonts w:ascii="仿宋" w:eastAsia="仿宋" w:cs="仿宋" w:hint="eastAsia"/>
          <w:color w:val="auto"/>
          <w:sz w:val="28"/>
          <w:szCs w:val="28"/>
        </w:rPr>
        <w:t>（8）中标人对于所供产品，因中标人原因，经采购人符合性验收或技术性验收不合格的，根据采购人要求，可无条件为采购人更换或退货，中标人承担全部责任并对存在的问题在7天内给予解决。</w:t>
      </w:r>
    </w:p>
    <w:p>
      <w:pPr>
        <w:tabs>
          <w:tab w:val="left" w:pos="630"/>
        </w:tabs>
        <w:spacing w:line="500" w:lineRule="exact"/>
        <w:ind w:firstLineChars="200" w:firstLine="560"/>
        <w:textAlignment w:val="baseline"/>
        <w:rPr>
          <w:rFonts w:ascii="仿宋" w:eastAsia="仿宋" w:cs="仿宋"/>
          <w:color w:val="auto"/>
          <w:sz w:val="28"/>
          <w:szCs w:val="28"/>
        </w:rPr>
      </w:pPr>
      <w:r>
        <w:rPr>
          <w:rFonts w:ascii="仿宋" w:eastAsia="仿宋" w:cs="仿宋" w:hint="eastAsia"/>
          <w:color w:val="auto"/>
          <w:sz w:val="28"/>
          <w:szCs w:val="28"/>
        </w:rPr>
        <w:t xml:space="preserve">（9）中标人对所供产品的使用所需的特殊条件和环境要求等事项事前需向采购人提示、说明。因未提示、说明而造成所供产品不能正常使用，中标人承担责任并给予解决，所产生的费用由中标人承担。 </w:t>
      </w:r>
    </w:p>
    <w:p>
      <w:pPr>
        <w:tabs>
          <w:tab w:val="left" w:pos="630"/>
        </w:tabs>
        <w:spacing w:line="500" w:lineRule="exact"/>
        <w:ind w:firstLineChars="200" w:firstLine="560"/>
        <w:textAlignment w:val="baseline"/>
        <w:rPr>
          <w:rFonts w:ascii="仿宋" w:eastAsia="仿宋" w:cs="仿宋"/>
          <w:color w:val="auto"/>
          <w:sz w:val="28"/>
          <w:szCs w:val="28"/>
        </w:rPr>
      </w:pPr>
      <w:r>
        <w:rPr>
          <w:rFonts w:ascii="仿宋" w:eastAsia="仿宋" w:cs="仿宋" w:hint="eastAsia"/>
          <w:color w:val="auto"/>
          <w:sz w:val="28"/>
          <w:szCs w:val="28"/>
        </w:rPr>
        <w:t xml:space="preserve">（10）中标人需保证所提供产品配套完整，货到即能正常使用，如发生因配套不完整等因素而造成采购人不能正常使用，中标人应及时给予解决，由此产生的一切费用中标人承担。 </w:t>
      </w:r>
    </w:p>
    <w:p>
      <w:pPr>
        <w:tabs>
          <w:tab w:val="left" w:pos="630"/>
        </w:tabs>
        <w:spacing w:line="500" w:lineRule="exact"/>
        <w:ind w:firstLineChars="200" w:firstLine="560"/>
        <w:textAlignment w:val="baseline"/>
        <w:rPr>
          <w:rFonts w:ascii="仿宋" w:eastAsia="仿宋" w:cs="仿宋"/>
          <w:color w:val="auto"/>
          <w:sz w:val="28"/>
          <w:szCs w:val="28"/>
        </w:rPr>
      </w:pPr>
      <w:r>
        <w:rPr>
          <w:rFonts w:ascii="仿宋" w:eastAsia="仿宋" w:cs="仿宋" w:hint="eastAsia"/>
          <w:color w:val="auto"/>
          <w:sz w:val="28"/>
          <w:szCs w:val="28"/>
        </w:rPr>
        <w:t xml:space="preserve">（11）中标人须可提供现场技术培训。 </w:t>
      </w:r>
    </w:p>
    <w:p>
      <w:pPr>
        <w:tabs>
          <w:tab w:val="left" w:pos="630"/>
        </w:tabs>
        <w:spacing w:line="500" w:lineRule="exact"/>
        <w:ind w:firstLineChars="200" w:firstLine="560"/>
        <w:textAlignment w:val="baseline"/>
        <w:rPr>
          <w:rFonts w:ascii="仿宋" w:eastAsia="仿宋" w:cs="仿宋"/>
          <w:color w:val="auto"/>
          <w:sz w:val="28"/>
          <w:szCs w:val="28"/>
        </w:rPr>
      </w:pPr>
      <w:r>
        <w:rPr>
          <w:rFonts w:ascii="仿宋" w:eastAsia="仿宋" w:cs="仿宋" w:hint="eastAsia"/>
          <w:color w:val="auto"/>
          <w:sz w:val="28"/>
          <w:szCs w:val="28"/>
        </w:rPr>
        <w:t xml:space="preserve">（12）交货时采购人有权要求中标人就产品的合法供货渠道进行说明；采购人认为有必要的，中标人应提供有效的书面证明材料。如果中标人提供非法渠道的商品，视为欺诈，为维护采购人合法权益，中标人要承担商品价值双倍的赔偿； 同时，采购人保留依据现行的国家法律法规追究其他责任的权利。 </w:t>
      </w:r>
    </w:p>
    <w:p>
      <w:pPr>
        <w:tabs>
          <w:tab w:val="left" w:pos="630"/>
        </w:tabs>
        <w:spacing w:line="500" w:lineRule="exact"/>
        <w:ind w:firstLineChars="200" w:firstLine="560"/>
        <w:textAlignment w:val="baseline"/>
        <w:rPr>
          <w:rFonts w:ascii="仿宋" w:eastAsia="仿宋" w:cs="仿宋"/>
          <w:color w:val="auto"/>
          <w:sz w:val="28"/>
          <w:szCs w:val="28"/>
        </w:rPr>
      </w:pPr>
      <w:r>
        <w:rPr>
          <w:rFonts w:ascii="仿宋" w:eastAsia="仿宋" w:cs="仿宋" w:hint="eastAsia"/>
          <w:color w:val="auto"/>
          <w:sz w:val="28"/>
          <w:szCs w:val="28"/>
        </w:rPr>
        <w:t>（13）货物的包装和发运必须符合货物特性要求。为了保证货物在长途运输和装卸过程中的安全，货物包装均应符合《商品包装政府采购需求标准（试行）》《快递包装政府采购需求标准（试行）》的要求，包装应适应于远距离运输、防潮、防震、防锈和防野蛮装卸，以确保货物安全无损运抵指定地点。由于包装不善导致货物锈蚀、失缺或损坏，由中标人承担一切责任。</w:t>
      </w:r>
    </w:p>
    <w:p>
      <w:pPr>
        <w:pStyle w:val="4"/>
        <w:spacing w:before="0" w:after="0" w:line="500" w:lineRule="exact"/>
        <w:rPr>
          <w:rFonts w:ascii="仿宋" w:eastAsia="仿宋" w:cs="仿宋"/>
          <w:bCs/>
          <w:color w:val="auto"/>
          <w:sz w:val="28"/>
          <w:szCs w:val="28"/>
        </w:rPr>
      </w:pPr>
      <w:r>
        <w:rPr>
          <w:rFonts w:ascii="仿宋" w:eastAsia="仿宋" w:cs="仿宋" w:hint="eastAsia"/>
          <w:bCs/>
          <w:color w:val="auto"/>
          <w:sz w:val="28"/>
          <w:szCs w:val="28"/>
        </w:rPr>
        <w:t>★四、商务要求（实质性要求）</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1.交货期及地点</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1.1交货期：</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（1）采购人下订单后，根据采购人的电话或传真通知，急需产品需在48小时内送到采购人处，其它订单的货物应保证1-2周内供货。不能按时供货视为违约，应承担相应的违约责任。</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（2）中标人如因特殊原因不能及时向采购人供货，需及时书面通知采购人，并与采购人协商及提出解决方案。 如采购人所需货物在市场上易获得，只是价格有变动，此种情况不按时供货视为违约。</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（3）采购过程中以采购人实际需求数量为准，按实际发生数量结算，直至本项目采购预算用完为止。</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 xml:space="preserve">1.2交货地点: </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送至采购人指定地点，原则上货物需送货上楼，但征得需求部门同意的货物也可不送货上楼。</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(1)、需求部门为理化一室、理化二室的货物送货地址为：成都市一环路南四段28号实验楼；</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w:t>
      </w:r>
      <w:r>
        <w:rPr>
          <w:rFonts w:ascii="仿宋" w:eastAsia="仿宋" w:cs="仿宋" w:hint="eastAsia"/>
          <w:bCs/>
          <w:color w:val="auto"/>
          <w:sz w:val="28"/>
          <w:szCs w:val="28"/>
          <w:lang w:val="en-US" w:eastAsia="zh-CN"/>
        </w:rPr>
        <w:t>2</w:t>
      </w:r>
      <w:r>
        <w:rPr>
          <w:rFonts w:ascii="仿宋" w:eastAsia="仿宋" w:cs="仿宋"/>
          <w:bCs/>
          <w:color w:val="auto"/>
          <w:sz w:val="28"/>
          <w:szCs w:val="28"/>
        </w:rPr>
        <w:t>)、需求部门为德阳分部的货物送货地址为：四川省德阳市旌阳区八角井街道金沙江东路207号9楼海关实验室；</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w:t>
      </w:r>
      <w:r>
        <w:rPr>
          <w:rFonts w:ascii="仿宋" w:eastAsia="仿宋" w:cs="仿宋" w:hint="eastAsia"/>
          <w:bCs/>
          <w:color w:val="auto"/>
          <w:sz w:val="28"/>
          <w:szCs w:val="28"/>
          <w:lang w:val="en-US" w:eastAsia="zh-CN"/>
        </w:rPr>
        <w:t>3</w:t>
      </w:r>
      <w:r>
        <w:rPr>
          <w:rFonts w:ascii="仿宋" w:eastAsia="仿宋" w:cs="仿宋"/>
          <w:bCs/>
          <w:color w:val="auto"/>
          <w:sz w:val="28"/>
          <w:szCs w:val="28"/>
        </w:rPr>
        <w:t>)、需求部门为泸州分部的货物送货地址为：泸州市龙马潭区临港大道二段10号海关业务大楼</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2.付款方法和条件：</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2.1中标人产品到货且经采购人验收合格后，采购人根据资金情况通知中标人开具增值税专用票，中标人向采购人提供对应订单总价款的增值税专用发票（按国家相关规定无法开具的除外），采购人在财政资金可以支付且收到发票后10个工作日内向中标人支付该订单货款。</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2.2因财政集中支付延误时间不计算在内，中标人提交付款单据迟延或缺失的，采购人有权相应顺延付款期限。</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注：如因资金支付问题，本批试剂耗材采购费用有可能在年底统一结算，具体以可支付时间为准。</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3.履约验收：</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3.1履约验收主体：成都海关技术中心</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3.2履约验收时间：供应商提出验收申请之日起10日内组织验收</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3.3验收组织方式：自行验收</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3.4履约验收程序：一次性验收</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3.5技术履约验收内容：按照本项目招标文件中“技术、服务要求”及中标人投标文件进行验收。</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3.6商务履约验收内容：按照本项目招标文件中“商务要求”及中标人投标文件进行验收。</w:t>
      </w:r>
    </w:p>
    <w:p>
      <w:pPr>
        <w:spacing w:line="500" w:lineRule="exact"/>
        <w:ind w:firstLineChars="200" w:firstLine="560"/>
        <w:rPr>
          <w:rFonts w:ascii="仿宋" w:eastAsia="仿宋" w:cs="仿宋"/>
          <w:bCs/>
          <w:color w:val="auto"/>
          <w:sz w:val="28"/>
          <w:szCs w:val="28"/>
        </w:rPr>
      </w:pPr>
      <w:r>
        <w:rPr>
          <w:rFonts w:ascii="仿宋" w:eastAsia="仿宋" w:cs="仿宋"/>
          <w:bCs/>
          <w:color w:val="auto"/>
          <w:sz w:val="28"/>
          <w:szCs w:val="28"/>
        </w:rPr>
        <w:t>3.7履约验收标准：按照《财政部关于进一步加强政府采购需求和履约验收管理的指导意见》（财库〔2016〕205号）的要求进行验收。</w:t>
      </w:r>
    </w:p>
    <w:p>
      <w:pPr>
        <w:pStyle w:val="15"/>
        <w:spacing w:line="500" w:lineRule="exact"/>
        <w:rPr>
          <w:rFonts w:ascii="仿宋" w:eastAsia="仿宋" w:cs="仿宋"/>
          <w:bCs/>
          <w:color w:val="auto"/>
          <w:sz w:val="28"/>
          <w:szCs w:val="28"/>
        </w:rPr>
      </w:pPr>
      <w:r>
        <w:rPr>
          <w:rFonts w:ascii="仿宋" w:eastAsia="仿宋" w:cs="仿宋" w:hint="eastAsia"/>
          <w:bCs/>
          <w:color w:val="auto"/>
          <w:kern w:val="0"/>
          <w:sz w:val="28"/>
          <w:szCs w:val="28"/>
        </w:rPr>
        <w:t>4.违约责任：除采购人和中标人双方另有约定外，如果中标人没有按照合同规定的时间交货和提供服务，采购人有权要求中标人支付误期赔偿费，或从合同货款、履约保证金中扣除误期赔偿费。每出现一次不能按时供货，采购人有权扣除中标人合同金额0.5%的履约保证金作为误期赔偿费。但误期赔偿费的合计最高限额不超过合同总金额的百分之十（10%）。一旦达到误期赔偿的最高限额，采购人有权单方面解除合同。</w:t>
      </w:r>
    </w:p>
    <w:p>
      <w:pPr>
        <w:spacing w:line="500" w:lineRule="exact"/>
        <w:ind w:firstLineChars="200" w:firstLine="480"/>
        <w:rPr>
          <w:rFonts w:ascii="仿宋" w:eastAsia="仿宋" w:cs="仿宋"/>
          <w:b/>
          <w:color w:val="auto"/>
          <w:sz w:val="24"/>
          <w:szCs w:val="24"/>
        </w:rPr>
      </w:pPr>
      <w:r>
        <w:rPr>
          <w:rFonts w:ascii="仿宋" w:eastAsia="仿宋" w:cs="仿宋" w:hint="eastAsia"/>
          <w:b/>
          <w:color w:val="auto"/>
          <w:sz w:val="24"/>
          <w:szCs w:val="24"/>
        </w:rPr>
        <w:t>注：1.本章中标注“★”的内容为实质性要求，供应商若不满足则视为无效响应。2.若本章涉及的国家标准有最新，按最新标准执行。3.若采购文件涉及品牌或者供应商，其目的是为了准备清楚说明采购项目的技术标准和要求，其意思表示为“参照或相当于”品牌或者供应商，其品牌或供应商具有可替代性。</w:t>
      </w:r>
    </w:p>
    <w:p>
      <w:pPr>
        <w:spacing w:line="500" w:lineRule="exact"/>
        <w:ind w:firstLineChars="200" w:firstLine="560"/>
        <w:rPr>
          <w:rFonts w:ascii="仿宋" w:eastAsia="仿宋" w:cs="仿宋"/>
          <w:b/>
          <w:color w:val="FF0000"/>
          <w:sz w:val="28"/>
          <w:szCs w:val="28"/>
        </w:rPr>
      </w:pPr>
    </w:p>
    <w:p>
      <w:pPr>
        <w:spacing w:line="500" w:lineRule="exact"/>
        <w:ind w:firstLineChars="200" w:firstLine="420"/>
      </w:pPr>
    </w:p>
    <w:sectPr>
      <w:footerReference w:type="default" r:id="rId2"/>
      <w:pgSz w:w="11906" w:h="16838"/>
      <w:pgMar w:top="720" w:right="720" w:bottom="720" w:left="72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7A"/>
    <w:family w:val="auto"/>
    <w:pitch w:val="variable"/>
    <w:sig w:usb0="00000003" w:usb1="288F0000" w:usb2="00000006" w:usb3="00000000" w:csb0="00040001"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81"/>
    <w:family w:val="swiss"/>
    <w:pitch w:val="variable"/>
    <w:sig w:usb0="E0002AFF" w:usb1="C0007841" w:usb2="00000009" w:usb3="00000000" w:csb0="400001FF" w:csb1="FFFF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2000019F" w:csb1="00000000"/>
  </w:font>
  <w:font w:name="等线">
    <w:altName w:val="微软雅黑"/>
    <w:panose1 w:val="02010600030101010101"/>
    <w:charset w:val="86"/>
    <w:family w:val="auto"/>
    <w:pitch w:val="variable"/>
    <w:sig w:usb0="00000000" w:usb1="00000000" w:usb2="00000016" w:usb3="00000000" w:csb0="0004000F" w:csb1="00000000"/>
  </w:font>
  <w:font w:name="仿宋_GB2312">
    <w:altName w:val="仿宋"/>
    <w:panose1 w:val="02010609030101010101"/>
    <w:charset w:val="86"/>
    <w:family w:val="modern"/>
    <w:pitch w:val="variable"/>
    <w:sig w:usb0="00000000" w:usb1="00000000" w:usb2="00000000" w:usb3="00000000" w:csb0="00040000" w:csb1="00000000"/>
  </w:font>
  <w:font w:name="新宋体">
    <w:panose1 w:val="02010609030101010101"/>
    <w:charset w:val="86"/>
    <w:family w:val="modern"/>
    <w:pitch w:val="variable"/>
    <w:sig w:usb0="00000003" w:usb1="288F0000" w:usb2="0000000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tabs>
        <w:tab w:val="center" w:pos="4153"/>
        <w:tab w:val="right" w:pos="8306"/>
      </w:tabs>
    </w:pPr>
    <w:r>
      <w:rPr>
        <w:sz w:val="18"/>
      </w:rPr>
      <mc:AlternateContent>
        <mc:Choice Requires="wps">
          <w:drawing>
            <wp:anchor distT="0" distB="0" distL="114298" distR="114298" simplePos="0" relativeHeight="10" behindDoc="0" locked="0" layoutInCell="1" hidden="0" allowOverlap="1">
              <wp:simplePos x="0" y="0"/>
              <wp:positionH relativeFrom="margin">
                <wp:align>outside</wp:align>
              </wp:positionH>
              <wp:positionV relativeFrom="paragraph">
                <wp:posOffset>0</wp:posOffset>
              </wp:positionV>
              <wp:extent cx="822325" cy="230251"/>
              <wp:effectExtent l="0" t="0" r="0" b="0"/>
              <wp:wrapNone/>
              <wp:docPr id="1" name="文本框 1"/>
              <wp:cNvGraphicFramePr>
                <a:graphicFrameLocks noChangeAspect="0"/>
              </wp:cNvGraphicFramePr>
              <a:graphic>
                <a:graphicData uri="http://schemas.microsoft.com/office/word/2010/wordprocessingShape">
                  <wps:wsp>
                    <wps:cNvSpPr/>
                    <wps:spPr>
                      <a:xfrm rot="0">
                        <a:off x="0" y="0"/>
                        <a:ext cx="822325" cy="230251"/>
                      </a:xfrm>
                      <a:prstGeom prst="rect"/>
                      <a:noFill/>
                      <a:ln w="9525" cmpd="sng" cap="flat">
                        <a:noFill/>
                        <a:prstDash val="solid"/>
                        <a:round/>
                      </a:ln>
                    </wps:spPr>
                    <wps:txbx id="2">
                      <w:txbxContent>
                        <w:p>
                          <w:pPr>
                            <w:pStyle w:val="21"/>
                            <w:keepNext w:val="0"/>
                            <w:keepLines w:val="0"/>
                            <w:pageBreakBefore w:val="0"/>
                            <w:widowControl w:val="0"/>
                            <w:tabs>
                              <w:tab w:val="center" w:pos="4153"/>
                              <w:tab w:val="right" w:pos="8306"/>
                            </w:tabs>
                            <w:kinsoku/>
                            <w:wordWrap/>
                            <w:overflowPunct/>
                            <w:topLinePunct w:val="0"/>
                            <w:autoSpaceDE/>
                            <w:autoSpaceDN/>
                            <w:bidi w:val="0"/>
                            <w:adjustRightInd/>
                            <w:snapToGrid w:val="0"/>
                            <w:ind w:leftChars="150" w:left="315"/>
                            <w:textAlignment w:val="auto"/>
                            <w:rPr>
                              <w:rFonts w:ascii="宋体" w:eastAsia="宋体" w:cs="宋体" w:hint="eastAsia"/>
                              <w:sz w:val="28"/>
                              <w:szCs w:val="28"/>
                            </w:rPr>
                          </w:pPr>
                          <w:r>
                            <w:rPr>
                              <w:rFonts w:ascii="宋体" w:eastAsia="宋体" w:cs="宋体" w:hint="eastAsia"/>
                              <w:sz w:val="28"/>
                              <w:szCs w:val="28"/>
                            </w:rP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1</w:t>
                          </w:r>
                          <w:r>
                            <w:rPr>
                              <w:rFonts w:ascii="宋体" w:eastAsia="宋体" w:cs="宋体" w:hint="eastAsia"/>
                              <w:sz w:val="28"/>
                              <w:szCs w:val="28"/>
                            </w:rPr>
                            <w:fldChar w:fldCharType="end"/>
                          </w:r>
                          <w:r>
                            <w:rPr>
                              <w:rFonts w:ascii="宋体" w:eastAsia="宋体" w:cs="宋体" w:hint="eastAsia"/>
                              <w:sz w:val="28"/>
                              <w:szCs w:val="28"/>
                            </w:rPr>
                            <w:t xml:space="preserve"> —</w:t>
                          </w:r>
                        </w:p>
                      </w:txbxContent>
                    </wps:txbx>
                    <wps:bodyPr vert="horz" wrap="none" lIns="0" tIns="0" rIns="0" bIns="0" anchor="t" anchorCtr="0" upright="0">
                      <a:spAutoFit/>
                    </wps:bodyPr>
                  </wps:wsp>
                </a:graphicData>
              </a:graphic>
            </wp:anchor>
          </w:drawing>
        </mc:Choice>
        <mc:Fallback>
          <w:pict>
            <v:shape type="#_x0000_t202" id="文本框 1 3" o:spid="_x0000_s3" filled="f" stroked="f" style="position:absolute;margin-left:0.0pt;margin-top:0.0pt;width:64.75001pt;height:18.130003pt;z-index:10;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21"/>
                      <w:keepNext w:val="0"/>
                      <w:keepLines w:val="0"/>
                      <w:pageBreakBefore w:val="0"/>
                      <w:widowControl w:val="0"/>
                      <w:tabs>
                        <w:tab w:val="center" w:pos="4153"/>
                        <w:tab w:val="right" w:pos="8306"/>
                      </w:tabs>
                      <w:kinsoku/>
                      <w:wordWrap/>
                      <w:overflowPunct/>
                      <w:topLinePunct w:val="0"/>
                      <w:autoSpaceDE/>
                      <w:autoSpaceDN/>
                      <w:bidi w:val="0"/>
                      <w:adjustRightInd/>
                      <w:snapToGrid w:val="0"/>
                      <w:ind w:leftChars="150" w:left="315"/>
                      <w:textAlignment w:val="auto"/>
                      <w:rPr>
                        <w:rFonts w:ascii="宋体" w:eastAsia="宋体" w:cs="宋体" w:hint="eastAsia"/>
                        <w:sz w:val="28"/>
                        <w:szCs w:val="28"/>
                      </w:rPr>
                    </w:pPr>
                    <w:r>
                      <w:rPr>
                        <w:rFonts w:ascii="宋体" w:eastAsia="宋体" w:cs="宋体" w:hint="eastAsia"/>
                        <w:sz w:val="28"/>
                        <w:szCs w:val="28"/>
                      </w:rP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1</w:t>
                    </w:r>
                    <w:r>
                      <w:rPr>
                        <w:rFonts w:ascii="宋体" w:eastAsia="宋体" w:cs="宋体" w:hint="eastAsia"/>
                        <w:sz w:val="28"/>
                        <w:szCs w:val="28"/>
                      </w:rPr>
                      <w:fldChar w:fldCharType="end"/>
                    </w:r>
                    <w:r>
                      <w:rPr>
                        <w:rFonts w:ascii="宋体" w:eastAsia="宋体" w:cs="宋体" w:hint="eastAsia"/>
                        <w:sz w:val="28"/>
                        <w:szCs w:val="28"/>
                      </w:rPr>
                      <w:t xml:space="preserve"> —</w:t>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3EBB3C91"/>
    <w:multiLevelType w:val="multilevel"/>
    <w:tmpl w:val="3EBB3C91"/>
    <w:lvl w:ilvl="0">
      <w:start w:val="1"/>
      <w:numFmt w:val="chineseCountingThousand"/>
      <w:lvlRestart w:val="0"/>
      <w:suff w:val="space"/>
      <w:lvlText w:val="%1. "/>
      <w:lvlJc w:val="left"/>
      <w:pPr>
        <w:ind w:left="907" w:hanging="907"/>
      </w:pPr>
      <w:rPr>
        <w:rFonts w:hint="eastAsia"/>
      </w:rPr>
    </w:lvl>
    <w:lvl w:ilvl="1">
      <w:start w:val="1"/>
      <w:numFmt w:val="decimal"/>
      <w:isLgl/>
      <w:suff w:val="space"/>
      <w:lvlText w:val="%1.%2 "/>
      <w:lvlJc w:val="left"/>
      <w:pPr>
        <w:ind w:left="794" w:hanging="794"/>
      </w:pPr>
    </w:lvl>
    <w:lvl w:ilvl="2">
      <w:start w:val="0"/>
      <w:numFmt w:val="none"/>
      <w:lvlJc w:val="left"/>
      <w:pPr>
        <w:ind w:left="0" w:hanging="0"/>
      </w:pPr>
      <w:rPr>
        <w:rFonts w:cs="Times New Roman"/>
      </w:rPr>
    </w:lvl>
    <w:lvl w:ilvl="3">
      <w:start w:val="0"/>
      <w:numFmt w:val="none"/>
      <w:lvlJc w:val="left"/>
      <w:pPr>
        <w:ind w:left="0" w:hanging="0"/>
      </w:pPr>
      <w:rPr>
        <w:rFonts w:cs="Times New Roman"/>
      </w:rPr>
    </w:lvl>
    <w:lvl w:ilvl="4">
      <w:start w:val="0"/>
      <w:numFmt w:val="decimal"/>
      <w:pStyle w:val="25"/>
      <w:lvlJc w:val="left"/>
      <w:pPr>
        <w:ind w:left="0" w:hanging="0"/>
      </w:pPr>
      <w:rPr>
        <w:rFonts w:cs="Times New Roman"/>
      </w:rPr>
    </w:lvl>
    <w:lvl w:ilvl="5">
      <w:start w:val="0"/>
      <w:numFmt w:val="decimal"/>
      <w:lvlJc w:val="left"/>
      <w:pPr>
        <w:ind w:left="0" w:hanging="0"/>
      </w:pPr>
      <w:rPr>
        <w:rFonts w:cs="Times New Roman"/>
      </w:rPr>
    </w:lvl>
    <w:lvl w:ilvl="6">
      <w:start w:val="0"/>
      <w:numFmt w:val="decimal"/>
      <w:lvlJc w:val="left"/>
      <w:pPr>
        <w:ind w:left="0" w:hanging="0"/>
      </w:pPr>
      <w:rPr>
        <w:rFonts w:cs="Times New Roman"/>
      </w:rPr>
    </w:lvl>
    <w:lvl w:ilvl="7">
      <w:start w:val="0"/>
      <w:numFmt w:val="decimal"/>
      <w:lvlJc w:val="left"/>
      <w:pPr>
        <w:ind w:left="0" w:hanging="0"/>
      </w:pPr>
      <w:rPr>
        <w:rFonts w:cs="Times New Roman"/>
      </w:rPr>
    </w:lvl>
    <w:lvl w:ilvl="8">
      <w:start w:val="0"/>
      <w:numFmt w:val="decimal"/>
      <w:lvlJc w:val="left"/>
      <w:pPr>
        <w:ind w:left="0" w:hanging="0"/>
      </w:pPr>
      <w:rPr>
        <w:rFonts w:cs="Times New Roman"/>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bordersDoNotSurroundHeader w:val="0"/>
  <w:bordersDoNotSurroundFooter w:val="0"/>
  <w:trackRevisions/>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Arial" w:eastAsia="黑体" w:cs="Arial" w:hAnsi="Arial"/>
      <w:b/>
      <w:bCs/>
      <w:sz w:val="32"/>
      <w:szCs w:val="32"/>
    </w:rPr>
  </w:style>
  <w:style w:type="paragraph" w:styleId="3">
    <w:name w:val="heading 3"/>
    <w:basedOn w:val="0"/>
    <w:next w:val="0"/>
    <w:pPr>
      <w:keepNext/>
      <w:keepLines/>
      <w:widowControl w:val="0"/>
      <w:spacing w:before="260" w:after="260" w:line="415" w:lineRule="auto"/>
      <w:outlineLvl w:val="2"/>
    </w:pPr>
    <w:rPr>
      <w:rFonts w:ascii="Times New Roman" w:hAnsi="Times New Roman"/>
      <w:b/>
      <w:bCs/>
      <w:kern w:val="2"/>
      <w:sz w:val="32"/>
      <w:szCs w:val="32"/>
    </w:rPr>
  </w:style>
  <w:style w:type="paragraph" w:styleId="4">
    <w:name w:val="heading 4"/>
    <w:basedOn w:val="0"/>
    <w:next w:val="0"/>
    <w:pPr>
      <w:keepNext/>
      <w:keepLines/>
      <w:widowControl w:val="0"/>
      <w:spacing w:before="280" w:after="290" w:line="372" w:lineRule="auto"/>
      <w:ind w:firstLineChars="200" w:firstLine="200"/>
      <w:outlineLvl w:val="3"/>
    </w:pPr>
    <w:rPr>
      <w:rFonts w:ascii="Arial" w:eastAsia="黑体" w:hAnsi="Arial"/>
      <w:b/>
      <w:kern w:val="2"/>
      <w:sz w:val="24"/>
      <w:szCs w:val="24"/>
    </w:rPr>
  </w:style>
  <w:style w:type="character" w:default="1" w:styleId="10">
    <w:name w:val="Default Paragraph Font"/>
  </w:style>
  <w:style w:type="paragraph" w:styleId="15">
    <w:name w:val="Normal Indent"/>
    <w:basedOn w:val="0"/>
    <w:pPr>
      <w:ind w:firstLineChars="200" w:firstLine="200"/>
    </w:pPr>
    <w:rPr>
      <w:rFonts w:ascii="Times New Roman" w:hAnsi="Times New Roman"/>
      <w:kern w:val="2"/>
      <w:sz w:val="21"/>
      <w:szCs w:val="24"/>
    </w:rPr>
  </w:style>
  <w:style w:type="paragraph" w:styleId="16">
    <w:name w:val="Body Text"/>
    <w:basedOn w:val="0"/>
    <w:next w:val="18"/>
    <w:pPr>
      <w:widowControl/>
      <w:spacing w:after="120"/>
      <w:jc w:val="left"/>
    </w:pPr>
    <w:rPr>
      <w:rFonts w:ascii="Calibri" w:hAnsi="Calibri"/>
      <w:sz w:val="24"/>
      <w:szCs w:val="24"/>
    </w:rPr>
  </w:style>
  <w:style w:type="paragraph" w:styleId="17">
    <w:name w:val="Body Text Indent"/>
    <w:basedOn w:val="0"/>
    <w:next w:val="18"/>
    <w:pPr>
      <w:ind w:firstLine="360"/>
    </w:pPr>
    <w:rPr>
      <w:rFonts w:ascii="Times New Roman" w:eastAsia="宋体" w:cs="Times New Roman" w:hAnsi="Times New Roman"/>
      <w:kern w:val="0"/>
      <w:sz w:val="20"/>
      <w:szCs w:val="20"/>
    </w:rPr>
  </w:style>
  <w:style w:type="paragraph" w:styleId="18">
    <w:name w:val="Body Text First Indent 2"/>
    <w:basedOn w:val="17"/>
    <w:next w:val="0"/>
    <w:pPr>
      <w:spacing w:line="360" w:lineRule="auto"/>
      <w:ind w:firstLineChars="200" w:firstLine="200"/>
    </w:pPr>
  </w:style>
  <w:style w:type="paragraph" w:styleId="19">
    <w:name w:val="List 2"/>
    <w:basedOn w:val="0"/>
    <w:pPr>
      <w:spacing w:line="360" w:lineRule="auto"/>
      <w:ind w:leftChars="200" w:left="400" w:hangingChars="200" w:hanging="200"/>
    </w:pPr>
    <w:rPr>
      <w:rFonts w:ascii="宋体"/>
      <w:kern w:val="0"/>
      <w:sz w:val="34"/>
      <w:szCs w:val="20"/>
    </w:rPr>
  </w:style>
  <w:style w:type="paragraph" w:styleId="20">
    <w:name w:val="Plain Text"/>
    <w:basedOn w:val="0"/>
    <w:rPr>
      <w:rFonts w:ascii="宋体" w:eastAsia="宋体" w:cs="Arial"/>
      <w:szCs w:val="22"/>
    </w:rPr>
  </w:style>
  <w:style w:type="paragraph" w:styleId="21">
    <w:name w:val="footer"/>
    <w:basedOn w:val="0"/>
    <w:pPr>
      <w:tabs>
        <w:tab w:val="center" w:pos="4153"/>
        <w:tab w:val="right" w:pos="8306"/>
      </w:tabs>
      <w:snapToGrid w:val="0"/>
      <w:jc w:val="left"/>
    </w:pPr>
    <w:rPr>
      <w:sz w:val="18"/>
      <w:szCs w:val="18"/>
    </w:rPr>
  </w:style>
  <w:style w:type="paragraph" w:styleId="22">
    <w:name w:val="header"/>
    <w:basedOn w:val="0"/>
    <w:pPr>
      <w:tabs>
        <w:tab w:val="center" w:pos="4153"/>
        <w:tab w:val="right" w:pos="8306"/>
      </w:tabs>
      <w:spacing w:line="240" w:lineRule="auto"/>
      <w:ind w:firstLine="0"/>
      <w:jc w:val="center"/>
    </w:pPr>
    <w:rPr>
      <w:rFonts w:ascii="等线" w:eastAsia="等线" w:cs="Times New Roman"/>
      <w:sz w:val="18"/>
      <w:szCs w:val="18"/>
    </w:rPr>
  </w:style>
  <w:style w:type="paragraph" w:styleId="23">
    <w:name w:val="Subtitle"/>
    <w:basedOn w:val="0"/>
    <w:next w:val="0"/>
    <w:pPr>
      <w:spacing w:before="240" w:after="60" w:line="312" w:lineRule="auto"/>
      <w:ind w:leftChars="200" w:left="200" w:firstLineChars="200" w:firstLine="200"/>
      <w:jc w:val="center"/>
      <w:outlineLvl w:val="1"/>
    </w:pPr>
    <w:rPr>
      <w:b/>
      <w:bCs/>
      <w:kern w:val="28"/>
      <w:sz w:val="20"/>
      <w:szCs w:val="32"/>
    </w:rPr>
  </w:style>
  <w:style w:type="character" w:styleId="24">
    <w:name w:val="Hyperlink"/>
    <w:basedOn w:val="10"/>
    <w:rPr>
      <w:color w:val="0000FF"/>
      <w:u w:val="single"/>
    </w:rPr>
  </w:style>
  <w:style w:type="paragraph" w:customStyle="1" w:styleId="25">
    <w:name w:val="标题 5（有编号）（绿盟科技）"/>
    <w:basedOn w:val="0"/>
    <w:next w:val="26"/>
    <w:pPr>
      <w:keepNext/>
      <w:keepLines/>
      <w:widowControl w:val="0"/>
      <w:numPr>
        <w:ilvl w:val="4"/>
        <w:numId w:val="1"/>
      </w:numPr>
      <w:spacing w:before="280" w:after="156" w:line="377" w:lineRule="auto"/>
      <w:jc w:val="left"/>
      <w:outlineLvl w:val="4"/>
    </w:pPr>
    <w:rPr>
      <w:rFonts w:ascii="Arial" w:eastAsia="黑体" w:cs="黑体" w:hAnsi="Arial"/>
      <w:b/>
      <w:kern w:val="0"/>
      <w:sz w:val="24"/>
      <w:szCs w:val="28"/>
    </w:rPr>
  </w:style>
  <w:style w:type="paragraph" w:customStyle="1" w:styleId="26">
    <w:name w:val="正文（绿盟科技）"/>
    <w:pPr>
      <w:spacing w:line="300" w:lineRule="auto"/>
    </w:pPr>
    <w:rPr>
      <w:rFonts w:ascii="Arial" w:eastAsia="宋体" w:cs="黑体" w:hAnsi="Arial"/>
      <w:sz w:val="21"/>
      <w:szCs w:val="21"/>
      <w:lang w:val="en-US" w:eastAsia="zh-CN" w:bidi="ar-SA"/>
    </w:rPr>
  </w:style>
  <w:style w:type="paragraph" w:customStyle="1" w:styleId="27">
    <w:name w:val="List Paragraph"/>
    <w:basedOn w:val="0"/>
    <w:pPr>
      <w:ind w:firstLineChars="200" w:firstLine="200"/>
    </w:pPr>
  </w:style>
  <w:style w:type="paragraph" w:customStyle="1" w:styleId="28">
    <w:name w:val="样式"/>
    <w:pPr>
      <w:widowControl w:val="0"/>
      <w:autoSpaceDE w:val="0"/>
      <w:autoSpaceDN w:val="0"/>
      <w:adjustRightInd w:val="0"/>
    </w:pPr>
    <w:rPr>
      <w:rFonts w:ascii="宋体" w:eastAsia="宋体" w:cs="宋体"/>
      <w:sz w:val="24"/>
      <w:szCs w:val="24"/>
      <w:lang w:val="en-US" w:eastAsia="zh-CN" w:bidi="ar-SA"/>
    </w:rPr>
  </w:style>
  <w:style w:type="paragraph" w:customStyle="1" w:styleId="29">
    <w:name w:val="正文首行缩进两字符"/>
    <w:basedOn w:val="0"/>
    <w:pPr>
      <w:spacing w:line="360" w:lineRule="auto"/>
      <w:ind w:firstLineChars="200" w:firstLine="200"/>
    </w:pPr>
    <w:rPr>
      <w:rFonts w:ascii="Calibri" w:hAnsi="Calibri"/>
      <w:kern w:val="2"/>
      <w:sz w:val="21"/>
      <w:szCs w:val="24"/>
    </w:rPr>
  </w:style>
  <w:style w:type="paragraph" w:customStyle="1" w:styleId="30">
    <w:name w:val="01、普通正文"/>
    <w:basedOn w:val="0"/>
    <w:pPr>
      <w:tabs>
        <w:tab w:val="left" w:pos="0"/>
      </w:tabs>
      <w:wordWrap w:val="0"/>
      <w:topLinePunct/>
      <w:ind w:firstLine="0"/>
    </w:pPr>
    <w:rPr>
      <w:rFonts w:ascii="宋体" w:eastAsia="宋体"/>
      <w:snapToGrid w:val="0"/>
    </w:rPr>
  </w:style>
  <w:style w:type="character" w:customStyle="1" w:styleId="31">
    <w:name w:val="font201"/>
    <w:basedOn w:val="10"/>
    <w:rPr>
      <w:rFonts w:ascii="宋体" w:eastAsia="宋体" w:cs="宋体"/>
      <w:b/>
      <w:bCs/>
      <w:color w:val="FF0000"/>
      <w:sz w:val="28"/>
      <w:szCs w:val="28"/>
      <w:u w:val="none"/>
    </w:rPr>
  </w:style>
  <w:style w:type="character" w:customStyle="1" w:styleId="32">
    <w:name w:val="font21"/>
    <w:basedOn w:val="10"/>
    <w:rPr>
      <w:rFonts w:ascii="宋体" w:eastAsia="宋体" w:cs="宋体"/>
      <w:b/>
      <w:bCs/>
      <w:color w:val="000000"/>
      <w:sz w:val="28"/>
      <w:szCs w:val="28"/>
      <w:u w:val="none"/>
    </w:rPr>
  </w:style>
  <w:style w:type="character" w:customStyle="1" w:styleId="33">
    <w:name w:val="font31"/>
    <w:basedOn w:val="10"/>
    <w:rPr>
      <w:rFonts w:ascii="仿宋_GB2312" w:eastAsia="仿宋_GB2312" w:cs="仿宋_GB2312"/>
      <w:b/>
      <w:bCs/>
      <w:color w:val="000000"/>
      <w:sz w:val="28"/>
      <w:szCs w:val="28"/>
      <w:u w:val="none"/>
    </w:rPr>
  </w:style>
  <w:style w:type="character" w:customStyle="1" w:styleId="34">
    <w:name w:val="font221"/>
    <w:basedOn w:val="10"/>
    <w:rPr>
      <w:rFonts w:ascii="仿宋_GB2312" w:eastAsia="仿宋_GB2312" w:cs="仿宋_GB2312"/>
      <w:b/>
      <w:bCs/>
      <w:color w:val="FF0000"/>
      <w:sz w:val="28"/>
      <w:szCs w:val="28"/>
      <w:u w:val="none"/>
    </w:rPr>
  </w:style>
  <w:style w:type="character" w:customStyle="1" w:styleId="35">
    <w:name w:val="font71"/>
    <w:basedOn w:val="10"/>
    <w:rPr>
      <w:rFonts w:ascii="宋体" w:eastAsia="宋体" w:cs="宋体"/>
      <w:color w:val="000000"/>
      <w:sz w:val="18"/>
      <w:szCs w:val="18"/>
      <w:u w:val="none"/>
    </w:rPr>
  </w:style>
  <w:style w:type="character" w:customStyle="1" w:styleId="36">
    <w:name w:val="font11"/>
    <w:basedOn w:val="10"/>
    <w:rPr>
      <w:rFonts w:ascii="宋体" w:eastAsia="宋体" w:cs="宋体"/>
      <w:color w:val="000000"/>
      <w:sz w:val="22"/>
      <w:szCs w:val="22"/>
      <w:u w:val="none"/>
    </w:rPr>
  </w:style>
  <w:style w:type="character" w:customStyle="1" w:styleId="37">
    <w:name w:val="font81"/>
    <w:basedOn w:val="10"/>
    <w:rPr>
      <w:rFonts w:ascii="Times New Roman" w:cs="Times New Roman" w:hAnsi="Times New Roman"/>
      <w:color w:val="000000"/>
      <w:sz w:val="22"/>
      <w:szCs w:val="22"/>
      <w:u w:val="none"/>
    </w:rPr>
  </w:style>
  <w:style w:type="character" w:customStyle="1" w:styleId="38">
    <w:name w:val="font91"/>
    <w:basedOn w:val="10"/>
    <w:rPr>
      <w:rFonts w:ascii="Times New Roman" w:cs="Times New Roman" w:hAnsi="Times New Roman"/>
      <w:color w:val="000000"/>
      <w:sz w:val="22"/>
      <w:szCs w:val="22"/>
      <w:u w:val="none"/>
    </w:rPr>
  </w:style>
  <w:style w:type="character" w:customStyle="1" w:styleId="39">
    <w:name w:val="font231"/>
    <w:basedOn w:val="10"/>
    <w:rPr>
      <w:rFonts w:ascii="宋体" w:eastAsia="宋体" w:cs="宋体"/>
      <w:color w:val="000000"/>
      <w:sz w:val="22"/>
      <w:szCs w:val="22"/>
      <w:u w:val="none"/>
    </w:rPr>
  </w:style>
  <w:style w:type="character" w:customStyle="1" w:styleId="40">
    <w:name w:val="font101"/>
    <w:basedOn w:val="10"/>
    <w:rPr>
      <w:rFonts w:ascii="Times New Roman" w:cs="Times New Roman" w:hAnsi="Times New Roman"/>
      <w:color w:val="000000"/>
      <w:sz w:val="24"/>
      <w:szCs w:val="24"/>
      <w:u w:val="none"/>
    </w:rPr>
  </w:style>
  <w:style w:type="character" w:customStyle="1" w:styleId="41">
    <w:name w:val="font131"/>
    <w:basedOn w:val="10"/>
    <w:rPr>
      <w:rFonts w:ascii="新宋体" w:eastAsia="新宋体" w:cs="新宋体"/>
      <w:color w:val="000000"/>
      <w:sz w:val="24"/>
      <w:szCs w:val="24"/>
      <w:u w:val="none"/>
    </w:rPr>
  </w:style>
  <w:style w:type="character" w:customStyle="1" w:styleId="42">
    <w:name w:val="font241"/>
    <w:basedOn w:val="10"/>
    <w:rPr>
      <w:rFonts w:ascii="宋体" w:eastAsia="宋体" w:cs="宋体"/>
      <w:color w:val="000000"/>
      <w:sz w:val="24"/>
      <w:szCs w:val="24"/>
      <w:u w:val="none"/>
    </w:rPr>
  </w:style>
  <w:style w:type="character" w:customStyle="1" w:styleId="43">
    <w:name w:val="font191"/>
    <w:basedOn w:val="10"/>
    <w:rPr>
      <w:rFonts w:ascii="宋体" w:eastAsia="宋体" w:cs="宋体"/>
      <w:b/>
      <w:bCs/>
      <w:color w:val="FF0000"/>
      <w:sz w:val="28"/>
      <w:szCs w:val="28"/>
      <w:u w:val="none"/>
    </w:rPr>
  </w:style>
  <w:style w:type="character" w:customStyle="1" w:styleId="44">
    <w:name w:val="font212"/>
    <w:basedOn w:val="10"/>
    <w:rPr>
      <w:rFonts w:ascii="仿宋_GB2312" w:eastAsia="仿宋_GB2312" w:cs="仿宋_GB2312"/>
      <w:b/>
      <w:bCs/>
      <w:color w:val="FF0000"/>
      <w:sz w:val="28"/>
      <w:szCs w:val="28"/>
      <w:u w:val="none"/>
    </w:rPr>
  </w:style>
  <w:style w:type="character" w:customStyle="1" w:styleId="45">
    <w:name w:val="font151"/>
    <w:basedOn w:val="10"/>
    <w:rPr>
      <w:rFonts w:ascii="宋体" w:eastAsia="宋体" w:cs="宋体"/>
      <w:color w:val="000000"/>
      <w:sz w:val="24"/>
      <w:szCs w:val="24"/>
      <w:u w:val="none"/>
    </w:rPr>
  </w:style>
  <w:style w:type="character" w:customStyle="1" w:styleId="46">
    <w:name w:val="font141"/>
    <w:basedOn w:val="10"/>
    <w:rPr>
      <w:rFonts w:ascii="新宋体" w:eastAsia="新宋体" w:cs="新宋体"/>
      <w:color w:val="000000"/>
      <w:sz w:val="24"/>
      <w:szCs w:val="24"/>
      <w:u w:val="none"/>
    </w:rPr>
  </w:style>
  <w:style w:type="character" w:customStyle="1" w:styleId="47">
    <w:name w:val="font251"/>
    <w:basedOn w:val="10"/>
    <w:rPr>
      <w:rFonts w:ascii="宋体" w:eastAsia="宋体" w:cs="宋体"/>
      <w:color w:val="FF0000"/>
      <w:sz w:val="24"/>
      <w:szCs w:val="24"/>
      <w:u w:val="none"/>
    </w:rPr>
  </w:style>
  <w:style w:type="character" w:customStyle="1" w:styleId="48">
    <w:name w:val="font261"/>
    <w:basedOn w:val="10"/>
    <w:rPr>
      <w:rFonts w:ascii="新宋体" w:eastAsia="新宋体" w:cs="新宋体"/>
      <w:color w:val="FF0000"/>
      <w:sz w:val="24"/>
      <w:szCs w:val="24"/>
      <w:u w:val="none"/>
    </w:rPr>
  </w:style>
  <w:style w:type="character" w:customStyle="1" w:styleId="49">
    <w:name w:val="font121"/>
    <w:basedOn w:val="10"/>
    <w:rPr>
      <w:rFonts w:ascii="宋体" w:eastAsia="宋体" w:cs="宋体"/>
      <w:b/>
      <w:bCs/>
      <w:color w:val="FF0000"/>
      <w:sz w:val="28"/>
      <w:szCs w:val="28"/>
      <w:u w:val="none"/>
    </w:rPr>
  </w:style>
  <w:style w:type="character" w:customStyle="1" w:styleId="50">
    <w:name w:val="font41"/>
    <w:basedOn w:val="10"/>
    <w:rPr>
      <w:rFonts w:ascii="宋体" w:eastAsia="宋体" w:cs="宋体"/>
      <w:color w:val="000000"/>
      <w:sz w:val="18"/>
      <w:szCs w:val="18"/>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27</TotalTime>
  <Application>Yozo_Office</Application>
  <Pages>19</Pages>
  <Words>8763</Words>
  <Characters>12745</Characters>
  <Lines>2159</Lines>
  <Paragraphs>1264</Paragraphs>
  <CharactersWithSpaces>13234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杨苗</cp:lastModifiedBy>
  <cp:revision>0</cp:revision>
  <cp:lastPrinted>2026-03-03T03:25:00Z</cp:lastPrinted>
  <dcterms:created xsi:type="dcterms:W3CDTF">2014-10-29T12:08:00Z</dcterms:created>
  <dcterms:modified xsi:type="dcterms:W3CDTF">2026-04-30T02:16:25Z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2052-12.1.0.25865</vt:lpwstr>
  </property>
  <property fmtid="{D5CDD505-2E9C-101B-9397-08002B2CF9AE}" pid="3" name="KSOTemplateDocerSaveRecord">
    <vt:lpwstr>eyJoZGlkIjoiZTc2YWYyMzA0Nzg0YTc4M2VmMTYwMTBiNjRiZTA2MzgiLCJ1c2VySWQiOiIyOTY1NjI1MTYifQ==</vt:lpwstr>
  </property>
  <property fmtid="{D5CDD505-2E9C-101B-9397-08002B2CF9AE}" pid="4" name="ICV">
    <vt:lpwstr>25277EB7AC364F7980406D3C72F291ED_13</vt:lpwstr>
  </property>
</Properties>
</file>