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bookmarkStart w:id="0" w:name="_GoBack"/>
      <w:bookmarkEnd w:id="0"/>
      <w:r>
        <w:rPr>
          <w:rFonts w:ascii="Times New Roman" w:hAnsi="Times New Roman" w:hint="eastAsia"/>
          <w:sz w:val="48"/>
          <w:szCs w:val="48"/>
        </w:rPr>
        <w:t xml:space="preserve">               </w:t>
      </w:r>
    </w:p>
    <w:p>
      <w:pPr>
        <w:jc w:val="center"/>
        <w:rPr>
          <w:rFonts w:ascii="Times New Roman" w:hAnsi="Times New Roman"/>
          <w:b/>
          <w:bCs/>
          <w:sz w:val="84"/>
          <w:szCs w:val="84"/>
        </w:rPr>
      </w:pPr>
      <w:r>
        <w:rPr>
          <w:rFonts w:ascii="Times New Roman" w:hAnsi="Times New Roman"/>
          <w:b/>
          <w:bCs/>
          <w:sz w:val="84"/>
          <w:szCs w:val="84"/>
        </w:rPr>
        <w:t>成都海关</w:t>
      </w:r>
      <w:r>
        <w:rPr>
          <w:rFonts w:ascii="Times New Roman" w:hAnsi="Times New Roman" w:hint="eastAsia"/>
          <w:b/>
          <w:bCs/>
          <w:sz w:val="84"/>
          <w:szCs w:val="84"/>
        </w:rPr>
        <w:t>部门预算</w:t>
      </w:r>
    </w:p>
    <w:p>
      <w:pPr>
        <w:jc w:val="center"/>
        <w:rPr>
          <w:rFonts w:ascii="Times New Roman" w:hAnsi="Times New Roman"/>
          <w:b/>
          <w:bCs/>
          <w:sz w:val="44"/>
          <w:szCs w:val="44"/>
        </w:rPr>
      </w:pPr>
      <w:r>
        <w:rPr>
          <w:rFonts w:ascii="Times New Roman" w:hAnsi="Times New Roman" w:hint="eastAsia"/>
          <w:b/>
          <w:bCs/>
          <w:sz w:val="44"/>
          <w:szCs w:val="44"/>
        </w:rPr>
        <w:t>202</w:t>
      </w:r>
      <w:r>
        <w:rPr>
          <w:rFonts w:ascii="Times New Roman" w:hAnsi="Times New Roman"/>
          <w:b/>
          <w:bCs/>
          <w:sz w:val="44"/>
          <w:szCs w:val="44"/>
        </w:rPr>
        <w:t>5</w:t>
      </w:r>
      <w:r>
        <w:rPr>
          <w:rFonts w:ascii="Times New Roman" w:hAnsi="Times New Roman" w:hint="eastAsia"/>
          <w:b/>
          <w:bCs/>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eastAsia="宋体"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rPr>
          <w:b/>
          <w:sz w:val="44"/>
          <w:szCs w:val="44"/>
        </w:rPr>
      </w:pPr>
      <w:r>
        <w:rPr>
          <w:rFonts w:ascii="宋体" w:hint="eastAsia"/>
          <w:b/>
          <w:sz w:val="44"/>
          <w:szCs w:val="44"/>
        </w:rPr>
        <w:t>第一部分</w:t>
      </w:r>
      <w:r>
        <w:rPr>
          <w:rFonts w:hint="eastAsia"/>
          <w:b/>
          <w:sz w:val="44"/>
          <w:szCs w:val="44"/>
        </w:rPr>
        <w:t xml:space="preserve">  </w:t>
      </w:r>
      <w:r>
        <w:rPr>
          <w:b/>
          <w:sz w:val="44"/>
          <w:szCs w:val="44"/>
        </w:rPr>
        <w:t>成都</w:t>
      </w:r>
      <w:r>
        <w:rPr>
          <w:rFonts w:ascii="宋体" w:hint="eastAsia"/>
          <w:b/>
          <w:sz w:val="44"/>
          <w:szCs w:val="44"/>
        </w:rPr>
        <w:t>海关部门概况</w:t>
      </w:r>
    </w:p>
    <w:p>
      <w:pPr>
        <w:rPr>
          <w:sz w:val="36"/>
          <w:szCs w:val="36"/>
        </w:rPr>
      </w:pPr>
      <w:r>
        <w:rPr>
          <w:rFonts w:ascii="宋体" w:hint="eastAsia"/>
          <w:sz w:val="36"/>
          <w:szCs w:val="36"/>
        </w:rPr>
        <w:t>一、主要职能</w:t>
      </w:r>
    </w:p>
    <w:p>
      <w:pPr>
        <w:rPr>
          <w:rFonts w:hint="eastAsia"/>
          <w:sz w:val="36"/>
          <w:szCs w:val="36"/>
        </w:rPr>
      </w:pPr>
      <w:r>
        <w:rPr>
          <w:rFonts w:ascii="宋体" w:hint="eastAsia"/>
          <w:sz w:val="36"/>
          <w:szCs w:val="36"/>
        </w:rPr>
        <w:t>二、单位构成情况</w:t>
      </w:r>
      <w:r>
        <w:rPr>
          <w:rFonts w:hint="eastAsia"/>
          <w:sz w:val="36"/>
          <w:szCs w:val="36"/>
        </w:rPr>
        <w:t xml:space="preserve"> </w:t>
      </w:r>
    </w:p>
    <w:p>
      <w:pPr>
        <w:rPr>
          <w:rFonts w:hint="eastAsia"/>
          <w:b/>
          <w:sz w:val="44"/>
          <w:szCs w:val="44"/>
        </w:rPr>
      </w:pPr>
      <w:r>
        <w:rPr>
          <w:rFonts w:ascii="宋体" w:hint="eastAsia"/>
          <w:b/>
          <w:sz w:val="44"/>
          <w:szCs w:val="44"/>
        </w:rPr>
        <w:t>第二部分</w:t>
      </w:r>
      <w:r>
        <w:rPr>
          <w:rFonts w:hint="eastAsia"/>
          <w:b/>
          <w:sz w:val="44"/>
          <w:szCs w:val="44"/>
        </w:rPr>
        <w:t xml:space="preserve">  </w:t>
      </w:r>
      <w:r>
        <w:rPr>
          <w:b/>
          <w:sz w:val="44"/>
          <w:szCs w:val="44"/>
        </w:rPr>
        <w:t>成都</w:t>
      </w:r>
      <w:r>
        <w:rPr>
          <w:rFonts w:ascii="宋体" w:hint="eastAsia"/>
          <w:b/>
          <w:sz w:val="44"/>
          <w:szCs w:val="44"/>
        </w:rPr>
        <w:t>海关</w:t>
      </w:r>
      <w:r>
        <w:rPr>
          <w:rFonts w:ascii="Times New Roman" w:cs="Times New Roman" w:hAnsi="Times New Roman"/>
          <w:b/>
          <w:sz w:val="44"/>
          <w:szCs w:val="44"/>
        </w:rPr>
        <w:t>2025</w:t>
      </w:r>
      <w:r>
        <w:rPr>
          <w:rFonts w:ascii="宋体" w:hint="eastAsia"/>
          <w:b/>
          <w:sz w:val="44"/>
          <w:szCs w:val="44"/>
        </w:rPr>
        <w:t>年部门预算表</w:t>
      </w:r>
    </w:p>
    <w:p>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rPr>
          <w:sz w:val="36"/>
          <w:szCs w:val="36"/>
        </w:rPr>
      </w:pPr>
      <w:r>
        <w:rPr>
          <w:rFonts w:ascii="宋体" w:hint="eastAsia"/>
          <w:sz w:val="36"/>
          <w:szCs w:val="36"/>
        </w:rPr>
        <w:t>二、部门收入总表</w:t>
      </w:r>
    </w:p>
    <w:p>
      <w:pPr>
        <w:pStyle w:val="27"/>
        <w:rPr>
          <w:sz w:val="36"/>
          <w:szCs w:val="36"/>
        </w:rPr>
      </w:pPr>
      <w:r>
        <w:rPr>
          <w:rFonts w:ascii="宋体" w:hint="eastAsia"/>
          <w:sz w:val="36"/>
          <w:szCs w:val="36"/>
        </w:rPr>
        <w:t>三、部门支出总表</w:t>
      </w:r>
    </w:p>
    <w:p>
      <w:pPr>
        <w:rPr>
          <w:sz w:val="36"/>
          <w:szCs w:val="36"/>
        </w:rPr>
      </w:pPr>
      <w:r>
        <w:rPr>
          <w:rFonts w:ascii="宋体" w:hint="eastAsia"/>
          <w:sz w:val="36"/>
          <w:szCs w:val="36"/>
        </w:rPr>
        <w:t>四、</w:t>
      </w:r>
      <w:r>
        <w:rPr>
          <w:rFonts w:ascii="宋体"/>
          <w:sz w:val="36"/>
          <w:szCs w:val="36"/>
        </w:rPr>
        <w:t>财政拨款收支总表</w:t>
      </w:r>
    </w:p>
    <w:p>
      <w:pPr>
        <w:rPr>
          <w:sz w:val="36"/>
          <w:szCs w:val="36"/>
        </w:rPr>
      </w:pPr>
      <w:r>
        <w:rPr>
          <w:rFonts w:ascii="宋体" w:hint="eastAsia"/>
          <w:sz w:val="36"/>
          <w:szCs w:val="36"/>
        </w:rPr>
        <w:t>五、</w:t>
      </w:r>
      <w:r>
        <w:rPr>
          <w:rFonts w:ascii="宋体"/>
          <w:sz w:val="36"/>
          <w:szCs w:val="36"/>
        </w:rPr>
        <w:t>一般公共预算支出表</w:t>
      </w:r>
    </w:p>
    <w:p>
      <w:pPr>
        <w:rPr>
          <w:color w:val="339966"/>
          <w:sz w:val="36"/>
          <w:szCs w:val="36"/>
        </w:rPr>
      </w:pPr>
      <w:r>
        <w:rPr>
          <w:rFonts w:ascii="宋体" w:hint="eastAsia"/>
          <w:sz w:val="36"/>
          <w:szCs w:val="36"/>
        </w:rPr>
        <w:t>六、</w:t>
      </w:r>
      <w:r>
        <w:rPr>
          <w:rFonts w:ascii="宋体"/>
          <w:sz w:val="36"/>
          <w:szCs w:val="36"/>
        </w:rPr>
        <w:t>一般公共预算基本支出表</w:t>
      </w:r>
    </w:p>
    <w:p>
      <w:pPr>
        <w:rPr>
          <w:sz w:val="36"/>
          <w:szCs w:val="36"/>
        </w:rPr>
      </w:pPr>
      <w:r>
        <w:rPr>
          <w:rFonts w:ascii="宋体" w:hint="eastAsia"/>
          <w:sz w:val="36"/>
          <w:szCs w:val="36"/>
        </w:rPr>
        <w:t>七、</w:t>
      </w:r>
      <w:r>
        <w:rPr>
          <w:rFonts w:ascii="宋体"/>
          <w:sz w:val="36"/>
          <w:szCs w:val="36"/>
        </w:rPr>
        <w:t>政府性基金预算支出表</w:t>
      </w:r>
    </w:p>
    <w:p>
      <w:pPr>
        <w:rPr>
          <w:rFonts w:ascii="宋体" w:hint="eastAsia"/>
          <w:sz w:val="36"/>
          <w:szCs w:val="36"/>
        </w:rPr>
      </w:pPr>
      <w:r>
        <w:rPr>
          <w:rFonts w:ascii="宋体" w:hint="eastAsia"/>
          <w:sz w:val="36"/>
          <w:szCs w:val="36"/>
        </w:rPr>
        <w:t>八、</w:t>
      </w:r>
      <w:r>
        <w:rPr>
          <w:rFonts w:ascii="宋体"/>
          <w:sz w:val="36"/>
          <w:szCs w:val="36"/>
        </w:rPr>
        <w:t>国有资本经营预算支出表</w:t>
      </w:r>
    </w:p>
    <w:p>
      <w:pPr>
        <w:rPr>
          <w:rFonts w:hint="eastAsia"/>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rPr>
      </w:pPr>
      <w:r>
        <w:rPr>
          <w:rFonts w:ascii="宋体" w:hint="eastAsia"/>
          <w:b/>
          <w:sz w:val="44"/>
          <w:szCs w:val="44"/>
        </w:rPr>
        <w:t>第三部分</w:t>
      </w:r>
      <w:r>
        <w:rPr>
          <w:rFonts w:hint="eastAsia"/>
          <w:b/>
          <w:sz w:val="44"/>
          <w:szCs w:val="44"/>
        </w:rPr>
        <w:t xml:space="preserve">  </w:t>
      </w:r>
      <w:r>
        <w:rPr>
          <w:b/>
          <w:sz w:val="44"/>
          <w:szCs w:val="44"/>
        </w:rPr>
        <w:t>成都</w:t>
      </w:r>
      <w:r>
        <w:rPr>
          <w:rFonts w:ascii="宋体" w:hint="eastAsia"/>
          <w:b/>
          <w:sz w:val="44"/>
          <w:szCs w:val="44"/>
        </w:rPr>
        <w:t>海关</w:t>
      </w:r>
      <w:r>
        <w:rPr>
          <w:rFonts w:ascii="Times New Roman" w:cs="Times New Roman" w:hAnsi="Times New Roman"/>
          <w:b/>
          <w:sz w:val="44"/>
          <w:szCs w:val="44"/>
        </w:rPr>
        <w:t>2025</w:t>
      </w:r>
      <w:r>
        <w:rPr>
          <w:rFonts w:ascii="宋体" w:hint="eastAsia"/>
          <w:b/>
          <w:sz w:val="44"/>
          <w:szCs w:val="44"/>
        </w:rPr>
        <w:t>年部门预算情况说明</w:t>
      </w:r>
    </w:p>
    <w:p>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rPr>
          <w:rFonts w:ascii="宋体" w:hint="eastAsia"/>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Pr>
        <w:rPr>
          <w:rFonts w:ascii="Calibri" w:eastAsia="宋体" w:cs="Arial" w:hAnsi="Calibri" w:hint="eastAsia"/>
          <w:kern w:val="2"/>
          <w:sz w:val="21"/>
          <w:szCs w:val="22"/>
          <w:lang w:val="en-US" w:eastAsia="zh-CN" w:bidi="ar-SA"/>
        </w:rPr>
      </w:pPr>
    </w:p>
    <w:p>
      <w:pPr>
        <w:tabs>
          <w:tab w:val="left" w:pos="6241"/>
        </w:tabs>
        <w:jc w:val="left"/>
        <w:rPr>
          <w:rFonts w:hint="eastAsia"/>
          <w:lang w:val="en-US" w:eastAsia="zh-CN"/>
        </w:rPr>
        <w:sectPr>
          <w:footerReference w:type="default" r:id="rId3"/>
          <w:pgSz w:w="11906" w:h="16838"/>
          <w:pgMar w:top="1440" w:right="1800" w:bottom="1440" w:left="1800" w:header="851" w:footer="992" w:gutter="0"/>
          <w:pgNumType w:start="1"/>
          <w:docGrid w:type="lines" w:linePitch="312" w:charSpace="0"/>
        </w:sectPr>
      </w:pPr>
      <w:r>
        <w:rPr>
          <w:rFonts w:hint="eastAsia"/>
          <w:lang w:val="en-US" w:eastAsia="zh-CN"/>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b/>
          <w:sz w:val="84"/>
          <w:szCs w:val="84"/>
        </w:rPr>
        <w:t>成都</w:t>
      </w:r>
      <w:r>
        <w:rPr>
          <w:rFonts w:ascii="Times New Roman" w:hAnsi="Times New Roman" w:hint="eastAsia"/>
          <w:b/>
          <w:sz w:val="84"/>
          <w:szCs w:val="84"/>
        </w:rPr>
        <w:t>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overflowPunct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成都海关是受海关总署直接领导，负责指定口岸及相关区域范围内海关工作运行管理、监督监控的正厅级直属海关，领导隶属海关。成都海关管辖范围为四川省的各项海关管理工作。主要职责是：</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（一）负责本关区贯彻落实党中央、国务院关于海关工作的方针政策和决策部署，在履行职责过程中坚持和加强党对海关工作的集中统一领导，履行全面从严治党主体责任。</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（二）负责贯彻执行与海关管理相关的法律、法规、规章、规范性文件和相关技术规范，负责本关区征税、监管、缉私、出入境检验检疫、统计等工作。</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（三）监控研判本关区各类执法风险、管理风险和廉政风险并组织防范和化解，负责本关区基层党组织建设、队伍建设和日常管理工作。</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（四）完成海关总署交办的其他工作。</w:t>
      </w:r>
    </w:p>
    <w:p>
      <w:pPr>
        <w:overflowPunct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、单位构成情况</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成都海关现有15个正处级内设机构：办公室（党委办公室）、法规和综合业务处、自贸区和特殊区域发展处、关税处、卫生检疫处、动植物和食品检验检疫处、商品检验处、口岸监管处、统计分析处、企业管理和稽查处、财务处、科技处、督察内审处、人事处（党委组织部）、教育处。另设机关党委（思想政治工作办公室、党委宣传部、党委巡察工作办公室）、监察室（党委纪检组）、离退休干部办公室等3个正处级机构。</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下设19个正处级隶属海关单位：成都双流机场海关、成都邮局海关、青白江海关、锦城海关、天府新区海关、绵阳海关、自贡海关、攀枝花海关、泸州海关、德阳海关、广元海关、遂宁海关、内江海关、乐山海关、宜宾海关、南充海关、达州海关、广安海关、成都海关风险防控分局。</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所属事业单位6个：成都海关后勤管理中心、成都海关技术中心、四川国际旅行卫生保健中心（成都海关口岸门诊部）、中国质量认证中心成都海关评审中心、中国电子口岸数据中心成都分中心、攀枝花海关国际旅行卫生保健中心（攀枝花海关口岸门诊部）。</w:t>
      </w:r>
    </w:p>
    <w:p>
      <w:pPr>
        <w:keepNext w:val="0"/>
        <w:widowControl w:val="0"/>
        <w:overflowPunct w:val="0"/>
        <w:adjustRightInd w:val="0"/>
        <w:snapToGrid w:val="0"/>
        <w:spacing w:line="560" w:lineRule="exact"/>
        <w:ind w:firstLineChars="200" w:firstLine="640"/>
        <w:rPr>
          <w:rFonts w:eastAsia="方正仿宋_GBK"/>
          <w:sz w:val="32"/>
          <w:szCs w:val="32"/>
        </w:rPr>
      </w:pPr>
      <w:r>
        <w:rPr>
          <w:rFonts w:eastAsia="方正仿宋_GBK"/>
          <w:sz w:val="32"/>
          <w:szCs w:val="32"/>
        </w:rPr>
        <w:br w:type="page"/>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纳入成都海关</w:t>
      </w:r>
      <w:r>
        <w:rPr>
          <w:rFonts w:ascii="Times New Roman" w:eastAsia="方正仿宋_GBK" w:hAnsi="Times New Roman"/>
          <w:sz w:val="32"/>
          <w:szCs w:val="32"/>
        </w:rPr>
        <w:t>2025</w:t>
      </w:r>
      <w:r>
        <w:rPr>
          <w:rFonts w:ascii="Times New Roman" w:eastAsia="方正仿宋_GBK" w:hAnsi="Times New Roman" w:hint="eastAsia"/>
          <w:sz w:val="32"/>
          <w:szCs w:val="32"/>
        </w:rPr>
        <w:t>年部门预算编制范围的单位如下：</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6233"/>
      </w:tblGrid>
      <w:tr>
        <w:trPr>
          <w:trHeight w:val="398"/>
        </w:trPr>
        <w:tc>
          <w:tcPr>
            <w:tcW w:w="952"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序号</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单位</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中华人民共和国成都海关本级</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中华人民共和国绵阳海关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3</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中华人民共和国乐山海关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4</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中华人民共和国攀枝花海关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5</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中华人民共和国自贡海关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6</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中华人民共和国泸州海关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7</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中华人民共和国宜宾海关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8</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中华人民共和国成都双流机场海关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9</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中华人民共和国南充海关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10</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中华人民共和国德阳海关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11</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中华人民共和国遂宁海关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12</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中华人民共和国天府新区海关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13</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中华人民共和国广元海关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14</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中华人民共和国达州海关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15</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中华人民共和国内江海关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16</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中华人民共和国成都邮局海关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17</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中华人民共和国青白江海关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18</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中华人民共和国锦城海关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19</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中华人民共和国广安海关</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20</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成都海关后勤管理中心</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21</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中国电子口岸数据中心成都分中心</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22</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四川国际旅行卫生保健中心（成都海关口岸门诊部）</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23</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成都海关技术中心</w:t>
            </w:r>
          </w:p>
        </w:tc>
      </w:tr>
      <w:tr>
        <w:trPr>
          <w:trHeight w:val="398"/>
        </w:trPr>
        <w:tc>
          <w:tcPr>
            <w:tcW w:w="952" w:type="dxa"/>
            <w:tcBorders>
              <w:tl2br w:val="nil"/>
              <w:tr2bl w:val="nil"/>
            </w:tcBorders>
            <w:noWrap/>
            <w:vAlign w:val="center"/>
          </w:tcPr>
          <w:p>
            <w:pPr>
              <w:jc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24</w:t>
            </w:r>
          </w:p>
        </w:tc>
        <w:tc>
          <w:tcPr>
            <w:tcW w:w="6233" w:type="dxa"/>
            <w:tcBorders>
              <w:tl2br w:val="nil"/>
              <w:tr2bl w:val="nil"/>
            </w:tcBorders>
            <w:noWrap/>
            <w:vAlign w:val="center"/>
          </w:tcPr>
          <w:p>
            <w:pPr>
              <w:jc w:val="center"/>
              <w:rPr>
                <w:rFonts w:eastAsia="方正仿宋_GBK"/>
                <w:color w:val="000000"/>
                <w:szCs w:val="21"/>
              </w:rPr>
            </w:pPr>
            <w:r>
              <w:rPr>
                <w:rFonts w:eastAsia="方正仿宋_GBK" w:hint="eastAsia"/>
                <w:color w:val="000000"/>
                <w:szCs w:val="21"/>
              </w:rPr>
              <w:t>中国质量认证中心</w:t>
            </w:r>
            <w:r>
              <w:rPr>
                <w:rFonts w:eastAsia="方正仿宋_GBK"/>
                <w:color w:val="000000"/>
                <w:szCs w:val="21"/>
              </w:rPr>
              <w:t>成都海关评审</w:t>
            </w:r>
            <w:r>
              <w:rPr>
                <w:rFonts w:eastAsia="方正仿宋_GBK" w:hint="eastAsia"/>
                <w:color w:val="000000"/>
                <w:szCs w:val="21"/>
              </w:rPr>
              <w:t>中心</w:t>
            </w:r>
          </w:p>
        </w:tc>
      </w:tr>
    </w:tbl>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jc w:val="center"/>
        <w:rPr>
          <w:rFonts w:ascii="Times New Roman" w:hAnsi="Times New Roman"/>
          <w:b/>
          <w:sz w:val="72"/>
          <w:szCs w:val="72"/>
        </w:rPr>
      </w:pPr>
      <w:r>
        <w:rPr>
          <w:rFonts w:ascii="Times New Roman" w:hAnsi="Times New Roman"/>
          <w:b/>
          <w:sz w:val="72"/>
          <w:szCs w:val="72"/>
        </w:rPr>
        <w:t>成都</w:t>
      </w:r>
      <w:r>
        <w:rPr>
          <w:rFonts w:ascii="Times New Roman" w:hAnsi="Times New Roman" w:hint="eastAsia"/>
          <w:b/>
          <w:sz w:val="72"/>
          <w:szCs w:val="72"/>
        </w:rPr>
        <w:t>海关</w:t>
      </w:r>
      <w:r>
        <w:rPr>
          <w:rFonts w:ascii="Times New Roman" w:hAnsi="Times New Roman"/>
          <w:b/>
          <w:sz w:val="72"/>
          <w:szCs w:val="72"/>
        </w:rPr>
        <w:t>2025</w:t>
      </w:r>
      <w:r>
        <w:rPr>
          <w:rFonts w:ascii="Times New Roman" w:hAnsi="Times New Roman" w:hint="eastAsia"/>
          <w:b/>
          <w:sz w:val="72"/>
          <w:szCs w:val="72"/>
        </w:rPr>
        <w:t>年</w:t>
      </w:r>
    </w:p>
    <w:p>
      <w:pPr>
        <w:jc w:val="center"/>
        <w:rPr>
          <w:rFonts w:ascii="Times New Roman" w:hAnsi="Times New Roman"/>
          <w:szCs w:val="21"/>
        </w:rPr>
      </w:pPr>
      <w:r>
        <w:rPr>
          <w:rFonts w:ascii="Times New Roman" w:hAnsi="Times New Roman" w:hint="eastAsia"/>
          <w:b/>
          <w:sz w:val="72"/>
          <w:szCs w:val="72"/>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pgNumType/>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黑体" w:eastAsia="黑体" w:cs="宋体" w:hint="eastAsia"/>
                <w:color w:val="000000"/>
                <w:kern w:val="0"/>
                <w:sz w:val="20"/>
                <w:szCs w:val="20"/>
              </w:rPr>
            </w:pPr>
            <w:r>
              <w:rPr>
                <w:rFonts w:ascii="黑体" w:eastAsia="黑体" w:cs="宋体"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eastAsia="宋体" w:cs="宋体" w:hAnsi="Times New Roman"/>
                <w:color w:val="000000"/>
                <w:kern w:val="0"/>
                <w:sz w:val="36"/>
                <w:szCs w:val="36"/>
              </w:rPr>
            </w:pPr>
            <w:r>
              <w:rPr>
                <w:rFonts w:ascii="Times New Roman" w:eastAsia="宋体"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预算数</w:t>
            </w:r>
          </w:p>
        </w:tc>
      </w:tr>
      <w:tr>
        <w:trPr>
          <w:trHeight w:val="395"/>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36445.51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Times New Roman" w:hAnsi="Times New Roman"/>
                <w:color w:val="000000"/>
                <w:kern w:val="0"/>
                <w:sz w:val="20"/>
                <w:szCs w:val="20"/>
              </w:rPr>
            </w:pPr>
            <w:r>
              <w:rPr>
                <w:rFonts w:ascii="Times New Roman" w:eastAsia="宋体" w:cs="Times New Roman" w:hAnsi="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65999.76</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Times New Roman" w:hAnsi="Times New Roman"/>
                <w:color w:val="000000"/>
                <w:kern w:val="0"/>
                <w:sz w:val="20"/>
                <w:szCs w:val="20"/>
              </w:rPr>
            </w:pPr>
            <w:r>
              <w:rPr>
                <w:rFonts w:ascii="Times New Roman" w:eastAsia="宋体" w:cs="Times New Roman" w:hAnsi="Times New Roman" w:hint="eastAsia"/>
                <w:color w:val="000000"/>
                <w:kern w:val="0"/>
                <w:sz w:val="20"/>
                <w:szCs w:val="20"/>
              </w:rPr>
              <w:t>二、</w:t>
            </w:r>
            <w:r>
              <w:rPr>
                <w:rFonts w:ascii="Times New Roman" w:eastAsia="宋体" w:cs="宋体" w:hAnsi="Times New Roman" w:hint="eastAsia"/>
                <w:color w:val="000000"/>
                <w:kern w:val="0"/>
                <w:sz w:val="20"/>
                <w:szCs w:val="20"/>
              </w:rPr>
              <w:t>公共安全支出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2431.72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4206.50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9986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1831.23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5344.95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20208.73</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六、</w:t>
            </w:r>
            <w:r>
              <w:rPr>
                <w:rFonts w:ascii="Times New Roman" w:eastAsia="宋体" w:cs="宋体" w:hAnsi="Times New Roman"/>
                <w:color w:val="000000"/>
                <w:kern w:val="0"/>
                <w:sz w:val="20"/>
                <w:szCs w:val="20"/>
              </w:rPr>
              <w:t>其他支出</w:t>
            </w:r>
          </w:p>
        </w:tc>
        <w:tc>
          <w:tcPr>
            <w:tcW w:w="3119"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407.64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pStyle w:val="391"/>
              <w:widowControl/>
              <w:jc w:val="center"/>
              <w:rPr>
                <w:rFonts w:ascii="Times New Roman" w:eastAsia="宋体" w:cs="宋体" w:hAnsi="Times New Roman"/>
                <w:b/>
                <w:bCs/>
                <w:color w:val="000000"/>
                <w:kern w:val="0"/>
                <w:sz w:val="20"/>
                <w:szCs w:val="20"/>
              </w:rPr>
            </w:pPr>
            <w:r>
              <w:rPr>
                <w:rFonts w:ascii="Times New Roman" w:eastAsia="宋体" w:cs="宋体" w:hAnsi="Times New Roman" w:hint="eastAsia"/>
                <w:b/>
                <w:bCs/>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pStyle w:val="390"/>
              <w:widowControl/>
              <w:jc w:val="righ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 xml:space="preserve">         66640.24</w:t>
            </w:r>
          </w:p>
        </w:tc>
        <w:tc>
          <w:tcPr>
            <w:tcW w:w="3827" w:type="dxa"/>
            <w:tcBorders>
              <w:top w:val="nil"/>
              <w:left w:val="nil"/>
              <w:bottom w:val="single" w:sz="4" w:space="0" w:color="auto"/>
              <w:right w:val="single" w:sz="4" w:space="0" w:color="auto"/>
            </w:tcBorders>
            <w:shd w:val="clear" w:color="auto" w:fill="auto"/>
            <w:noWrap/>
            <w:vAlign w:val="center"/>
          </w:tcPr>
          <w:p>
            <w:pPr>
              <w:pStyle w:val="389"/>
              <w:widowControl/>
              <w:jc w:val="center"/>
              <w:rPr>
                <w:rFonts w:ascii="Times New Roman" w:eastAsia="宋体" w:cs="Times New Roman" w:hAnsi="Times New Roman"/>
                <w:b/>
                <w:bCs/>
                <w:color w:val="000000"/>
                <w:kern w:val="0"/>
                <w:sz w:val="20"/>
                <w:szCs w:val="20"/>
              </w:rPr>
            </w:pPr>
            <w:r>
              <w:rPr>
                <w:rFonts w:ascii="Times New Roman" w:eastAsia="宋体" w:cs="Times New Roman" w:hAnsi="Times New Roman" w:hint="eastAsia"/>
                <w:b/>
                <w:bCs/>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pStyle w:val="388"/>
              <w:widowControl/>
              <w:jc w:val="righ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 xml:space="preserve">              80221.80</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pStyle w:val="387"/>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pStyle w:val="386"/>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650</w:t>
            </w:r>
          </w:p>
        </w:tc>
        <w:tc>
          <w:tcPr>
            <w:tcW w:w="3827" w:type="dxa"/>
            <w:tcBorders>
              <w:top w:val="nil"/>
              <w:left w:val="nil"/>
              <w:bottom w:val="single" w:sz="4" w:space="0" w:color="auto"/>
              <w:right w:val="single" w:sz="4" w:space="0" w:color="auto"/>
            </w:tcBorders>
            <w:shd w:val="clear" w:color="auto" w:fill="auto"/>
            <w:noWrap/>
            <w:vAlign w:val="center"/>
          </w:tcPr>
          <w:p>
            <w:pPr>
              <w:pStyle w:val="385"/>
              <w:widowControl/>
              <w:jc w:val="left"/>
              <w:rPr>
                <w:rFonts w:ascii="Times New Roman" w:eastAsia="宋体" w:cs="Times New Roman" w:hAnsi="Times New Roman"/>
                <w:color w:val="000000"/>
                <w:kern w:val="0"/>
                <w:sz w:val="20"/>
                <w:szCs w:val="20"/>
              </w:rPr>
            </w:pPr>
            <w:r>
              <w:rPr>
                <w:rFonts w:ascii="Times New Roman" w:eastAsia="宋体" w:cs="Times New Roman" w:hAnsi="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pStyle w:val="384"/>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pStyle w:val="383"/>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pStyle w:val="382"/>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xml:space="preserve">             12931.56 </w:t>
            </w:r>
          </w:p>
        </w:tc>
        <w:tc>
          <w:tcPr>
            <w:tcW w:w="3827" w:type="dxa"/>
            <w:tcBorders>
              <w:top w:val="nil"/>
              <w:left w:val="nil"/>
              <w:bottom w:val="single" w:sz="4" w:space="0" w:color="auto"/>
              <w:right w:val="single" w:sz="4" w:space="0" w:color="auto"/>
            </w:tcBorders>
            <w:shd w:val="clear" w:color="auto" w:fill="auto"/>
            <w:noWrap/>
            <w:vAlign w:val="center"/>
          </w:tcPr>
          <w:p>
            <w:pPr>
              <w:pStyle w:val="381"/>
              <w:widowControl/>
              <w:jc w:val="lef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pStyle w:val="380"/>
              <w:widowControl/>
              <w:jc w:val="right"/>
              <w:rPr>
                <w:rFonts w:ascii="Times New Roman" w:eastAsia="宋体" w:cs="Times New Roman" w:hAnsi="Times New Roman"/>
                <w:color w:val="000000"/>
                <w:kern w:val="0"/>
                <w:sz w:val="20"/>
                <w:szCs w:val="20"/>
              </w:rPr>
            </w:pPr>
            <w:r>
              <w:rPr>
                <w:rFonts w:ascii="Times New Roman" w:eastAsia="宋体" w:cs="Times New Roman" w:hAnsi="Times New Roman"/>
                <w:color w:val="000000"/>
                <w:kern w:val="0"/>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pStyle w:val="379"/>
              <w:widowControl/>
              <w:jc w:val="left"/>
              <w:rPr>
                <w:rFonts w:ascii="Times New Roman" w:eastAsia="宋体" w:cs="宋体" w:hAnsi="Times New Roman"/>
                <w:b/>
                <w:bCs/>
                <w:color w:val="000000"/>
                <w:kern w:val="0"/>
                <w:sz w:val="20"/>
                <w:szCs w:val="20"/>
              </w:rPr>
            </w:pPr>
            <w:r>
              <w:rPr>
                <w:rFonts w:ascii="Times New Roman" w:eastAsia="宋体" w:cs="宋体" w:hAnsi="Times New Roman" w:hint="eastAsia"/>
                <w:b/>
                <w:bCs/>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pStyle w:val="378"/>
              <w:widowControl/>
              <w:jc w:val="righ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 xml:space="preserve">          80221.80 </w:t>
            </w:r>
          </w:p>
        </w:tc>
        <w:tc>
          <w:tcPr>
            <w:tcW w:w="3827" w:type="dxa"/>
            <w:tcBorders>
              <w:top w:val="nil"/>
              <w:left w:val="nil"/>
              <w:bottom w:val="single" w:sz="4" w:space="0" w:color="auto"/>
              <w:right w:val="single" w:sz="4" w:space="0" w:color="auto"/>
            </w:tcBorders>
            <w:shd w:val="clear" w:color="auto" w:fill="auto"/>
            <w:noWrap/>
            <w:vAlign w:val="center"/>
          </w:tcPr>
          <w:p>
            <w:pPr>
              <w:pStyle w:val="377"/>
              <w:widowControl/>
              <w:jc w:val="lef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 xml:space="preserve">            </w:t>
            </w:r>
            <w:r>
              <w:rPr>
                <w:rFonts w:ascii="Times New Roman" w:eastAsia="宋体" w:cs="Times New Roman" w:hAnsi="Times New Roman" w:hint="eastAsia"/>
                <w:b/>
                <w:bCs/>
                <w:color w:val="000000"/>
                <w:kern w:val="0"/>
                <w:sz w:val="20"/>
                <w:szCs w:val="20"/>
              </w:rPr>
              <w:t>支</w:t>
            </w:r>
            <w:r>
              <w:rPr>
                <w:rFonts w:ascii="Times New Roman" w:eastAsia="宋体" w:cs="Times New Roman" w:hAnsi="Times New Roman"/>
                <w:b/>
                <w:bCs/>
                <w:color w:val="000000"/>
                <w:kern w:val="0"/>
                <w:sz w:val="20"/>
                <w:szCs w:val="20"/>
              </w:rPr>
              <w:t xml:space="preserve">    </w:t>
            </w:r>
            <w:r>
              <w:rPr>
                <w:rFonts w:ascii="Times New Roman" w:eastAsia="宋体" w:cs="Times New Roman" w:hAnsi="Times New Roman" w:hint="eastAsia"/>
                <w:b/>
                <w:bCs/>
                <w:color w:val="000000"/>
                <w:kern w:val="0"/>
                <w:sz w:val="20"/>
                <w:szCs w:val="20"/>
              </w:rPr>
              <w:t>出</w:t>
            </w:r>
            <w:r>
              <w:rPr>
                <w:rFonts w:ascii="Times New Roman" w:eastAsia="宋体" w:cs="Times New Roman" w:hAnsi="Times New Roman"/>
                <w:b/>
                <w:bCs/>
                <w:color w:val="000000"/>
                <w:kern w:val="0"/>
                <w:sz w:val="20"/>
                <w:szCs w:val="20"/>
              </w:rPr>
              <w:t xml:space="preserve">    </w:t>
            </w:r>
            <w:r>
              <w:rPr>
                <w:rFonts w:ascii="Times New Roman" w:eastAsia="宋体" w:cs="Times New Roman" w:hAnsi="Times New Roman" w:hint="eastAsia"/>
                <w:b/>
                <w:bCs/>
                <w:color w:val="000000"/>
                <w:kern w:val="0"/>
                <w:sz w:val="20"/>
                <w:szCs w:val="20"/>
              </w:rPr>
              <w:t>总</w:t>
            </w:r>
            <w:r>
              <w:rPr>
                <w:rFonts w:ascii="Times New Roman" w:eastAsia="宋体" w:cs="Times New Roman" w:hAnsi="Times New Roman"/>
                <w:b/>
                <w:bCs/>
                <w:color w:val="000000"/>
                <w:kern w:val="0"/>
                <w:sz w:val="20"/>
                <w:szCs w:val="20"/>
              </w:rPr>
              <w:t xml:space="preserve">    </w:t>
            </w:r>
            <w:r>
              <w:rPr>
                <w:rFonts w:ascii="Times New Roman" w:eastAsia="宋体" w:cs="Times New Roman" w:hAnsi="Times New Roman" w:hint="eastAsia"/>
                <w:b/>
                <w:bCs/>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pPr>
              <w:pStyle w:val="376"/>
              <w:widowControl/>
              <w:jc w:val="righ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 xml:space="preserve">               80221.80 </w:t>
            </w:r>
          </w:p>
        </w:tc>
      </w:tr>
    </w:tbl>
    <w:p>
      <w:pPr>
        <w:jc w:val="left"/>
        <w:rPr>
          <w:rFonts w:ascii="Times New Roman" w:eastAsia="方正仿宋_GBK" w:hAnsi="Times New Roman"/>
          <w:sz w:val="32"/>
          <w:szCs w:val="32"/>
        </w:rPr>
      </w:pPr>
    </w:p>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ascii="黑体" w:eastAsia="黑体" w:cs="宋体" w:hint="eastAsia"/>
                <w:kern w:val="0"/>
                <w:sz w:val="20"/>
                <w:szCs w:val="20"/>
              </w:rPr>
            </w:pPr>
            <w:r>
              <w:rPr>
                <w:rFonts w:ascii="黑体" w:eastAsia="黑体" w:cs="宋体"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545"/>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80221.80</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12931.56</w:t>
            </w:r>
          </w:p>
        </w:tc>
        <w:tc>
          <w:tcPr>
            <w:tcW w:w="1220"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36445.51</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9986</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　</w:t>
            </w:r>
          </w:p>
        </w:tc>
        <w:tc>
          <w:tcPr>
            <w:tcW w:w="1166"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20208.73</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eastAsia="宋体" w:cs="Times New Roman" w:hAnsi="Times New Roman"/>
                <w:kern w:val="0"/>
                <w:sz w:val="20"/>
                <w:szCs w:val="20"/>
              </w:rPr>
            </w:pPr>
            <w:r>
              <w:rPr>
                <w:rFonts w:ascii="Times New Roman" w:eastAsia="宋体" w:cs="Times New Roman" w:hAnsi="Times New Roman"/>
                <w:kern w:val="0"/>
                <w:sz w:val="20"/>
                <w:szCs w:val="20"/>
              </w:rPr>
              <w:t>650</w:t>
            </w: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keepNext w:val="0"/>
        <w:widowControl w:val="0"/>
        <w:rPr>
          <w:rFonts w:ascii="Times New Roman" w:eastAsia="方正仿宋_GBK" w:hAnsi="Times New Roman"/>
          <w:sz w:val="32"/>
          <w:szCs w:val="32"/>
        </w:rPr>
        <w:sectPr>
          <w:pgSz w:w="16838" w:h="11906" w:orient="landscape"/>
          <w:pgMar w:top="1800" w:right="1440" w:bottom="1800" w:left="1440" w:header="851" w:footer="992" w:gutter="0"/>
          <w:pgNumType/>
          <w:docGrid w:type="lines" w:linePitch="312" w:charSpace="0"/>
        </w:sectPr>
      </w:pPr>
      <w:r>
        <w:rPr>
          <w:rFonts w:ascii="Times New Roman" w:eastAsia="方正仿宋_GBK" w:hAnsi="Times New Roman"/>
          <w:sz w:val="32"/>
          <w:szCs w:val="32"/>
        </w:rPr>
        <w:br w:type="page"/>
      </w:r>
    </w:p>
    <w:tbl>
      <w:tblPr>
        <w:jc w:val="left"/>
        <w:tblW w:w="895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181"/>
        <w:gridCol w:w="2227"/>
        <w:gridCol w:w="1050"/>
        <w:gridCol w:w="945"/>
        <w:gridCol w:w="945"/>
        <w:gridCol w:w="712"/>
        <w:gridCol w:w="862"/>
        <w:gridCol w:w="1028"/>
      </w:tblGrid>
      <w:tr>
        <w:trPr>
          <w:trHeight w:val="312"/>
        </w:trPr>
        <w:tc>
          <w:tcPr>
            <w:tcW w:w="1181"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227"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12"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890" w:type="dxa"/>
            <w:gridSpan w:val="2"/>
            <w:tcBorders>
              <w:top w:val="nil"/>
              <w:left w:val="nil"/>
              <w:bottom w:val="nil"/>
              <w:right w:val="nil"/>
              <w:tl2br w:val="nil"/>
              <w:tr2bl w:val="nil"/>
            </w:tcBorders>
            <w:noWrap/>
            <w:vAlign w:val="center"/>
          </w:tcPr>
          <w:p>
            <w:pPr>
              <w:jc w:val="right"/>
              <w:rPr>
                <w:rFonts w:ascii="黑体" w:eastAsia="黑体" w:cs="宋体" w:hint="eastAsia"/>
                <w:color w:val="000000"/>
                <w:sz w:val="20"/>
              </w:rPr>
            </w:pPr>
            <w:r>
              <w:rPr>
                <w:rFonts w:ascii="黑体" w:eastAsia="黑体" w:cs="宋体" w:hint="eastAsia"/>
                <w:color w:val="000000"/>
                <w:sz w:val="20"/>
              </w:rPr>
              <w:t>部门公开表3</w:t>
            </w:r>
          </w:p>
        </w:tc>
      </w:tr>
      <w:tr>
        <w:trPr>
          <w:trHeight w:val="626"/>
        </w:trPr>
        <w:tc>
          <w:tcPr>
            <w:tcW w:w="8950" w:type="dxa"/>
            <w:gridSpan w:val="8"/>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部门支出总表</w:t>
            </w:r>
          </w:p>
        </w:tc>
      </w:tr>
      <w:tr>
        <w:trPr>
          <w:trHeight w:val="312"/>
        </w:trPr>
        <w:tc>
          <w:tcPr>
            <w:tcW w:w="7922" w:type="dxa"/>
            <w:gridSpan w:val="7"/>
            <w:tcBorders>
              <w:top w:val="nil"/>
              <w:left w:val="nil"/>
              <w:bottom w:val="nil"/>
              <w:right w:val="nil"/>
              <w:tl2br w:val="nil"/>
              <w:tr2bl w:val="nil"/>
            </w:tcBorders>
            <w:noWrap/>
            <w:vAlign w:val="center"/>
          </w:tcPr>
          <w:p>
            <w:pPr>
              <w:rPr>
                <w:rFonts w:ascii="宋体" w:eastAsia="宋体" w:cs="宋体"/>
                <w:color w:val="000000"/>
                <w:sz w:val="16"/>
              </w:rPr>
            </w:pPr>
          </w:p>
        </w:tc>
        <w:tc>
          <w:tcPr>
            <w:tcW w:w="1028" w:type="dxa"/>
            <w:tcBorders>
              <w:top w:val="nil"/>
              <w:left w:val="nil"/>
              <w:bottom w:val="nil"/>
              <w:right w:val="nil"/>
              <w:tl2br w:val="nil"/>
              <w:tr2bl w:val="nil"/>
            </w:tcBorders>
            <w:noWrap/>
            <w:vAlign w:val="center"/>
          </w:tcPr>
          <w:p>
            <w:pPr>
              <w:jc w:val="right"/>
              <w:rPr>
                <w:rFonts w:ascii="宋体" w:eastAsia="宋体" w:cs="宋体"/>
                <w:color w:val="000000"/>
                <w:sz w:val="16"/>
              </w:rPr>
            </w:pPr>
            <w:r>
              <w:rPr>
                <w:rFonts w:ascii="宋体" w:eastAsia="宋体" w:cs="宋体"/>
                <w:color w:val="000000"/>
                <w:sz w:val="16"/>
              </w:rPr>
              <w:t>单位：万元</w:t>
            </w:r>
          </w:p>
        </w:tc>
      </w:tr>
      <w:tr>
        <w:trPr>
          <w:trHeight w:val="62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科目代码</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科目名称</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合计</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基本支出</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项目支出</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上缴上级支出</w:t>
            </w: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事业单位经营支出</w:t>
            </w: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szCs w:val="16"/>
              </w:rPr>
            </w:pPr>
            <w:r>
              <w:rPr>
                <w:rFonts w:ascii="宋体" w:eastAsia="宋体" w:cs="宋体"/>
                <w:color w:val="000000"/>
                <w:sz w:val="16"/>
                <w:szCs w:val="16"/>
              </w:rPr>
              <w:t>对附属单位补助支出</w:t>
            </w: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一般公共服务支出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65999.76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58945.22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7054.54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20109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海关事务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65999.76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58945.22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7054.54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行政运行</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46219.49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46219.49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2010902</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一般行政管理事务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546.24</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546.24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2010903</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机关服务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4292.27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4292.27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2010905</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缉私办案</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138.09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138.09</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2010907</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口岸管理</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56.2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56.2</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2010908</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信息化建设</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651.01</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651.01</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2010909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海关关务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3150.45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3150.45</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2010910</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关税征管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15</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2010911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海关监管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143.07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143.07</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2010912</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检验检疫</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2354.48</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2354.48</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2010950</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事业运行</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8433.46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8433.46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204</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公共安全支出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2431.72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1577.49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854.23</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20410</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缉私警察</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2431.72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1577.49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854.23</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2041001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行政运行</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1577.49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1577.49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2041006</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信息化建设</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93.5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93.5</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2041007</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缉私业务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549.06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549.06</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ind w:firstLineChars="200" w:firstLine="320"/>
              <w:rPr>
                <w:rFonts w:ascii="Times New Roman" w:eastAsia="宋体" w:cs="Times New Roman" w:hAnsi="Times New Roman"/>
                <w:sz w:val="16"/>
              </w:rPr>
            </w:pPr>
            <w:r>
              <w:rPr>
                <w:rFonts w:ascii="Times New Roman" w:eastAsia="宋体" w:cs="Times New Roman" w:hAnsi="Times New Roman"/>
                <w:sz w:val="16"/>
              </w:rPr>
              <w:t>2041099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ind w:firstLineChars="200" w:firstLine="320"/>
              <w:rPr>
                <w:rFonts w:ascii="宋体" w:eastAsia="宋体" w:cs="宋体"/>
                <w:sz w:val="16"/>
              </w:rPr>
            </w:pPr>
            <w:r>
              <w:rPr>
                <w:rFonts w:ascii="宋体" w:eastAsia="宋体" w:cs="宋体"/>
                <w:sz w:val="16"/>
              </w:rPr>
              <w:t>其他缉私警察支出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211.67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211.67</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208</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社会保障和就业支出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4206.5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4206.5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20805</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行政事业单位养老支出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4206.5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4206.5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2080501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行政单位离退休</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348.31</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348.31</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2080502</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事业单位离退休</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175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175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62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2080505</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机关事业单位基本养老保险缴费支出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2219.72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2219.72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62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2080506</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机关事业单位职业年金缴费支出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1463.47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1463.47</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210</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卫生健康支出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1831.23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1831.23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21011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行政事业单位医疗</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1831.23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1831.23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2101101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行政单位医疗</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1091.82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1091.82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2101102</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事业单位医疗</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178</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178</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2101103</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公务员医疗补助</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521.05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521.05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2101199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其他行政事业单位医疗支出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40.36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40.36</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221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住房保障支出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5344.95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5344.95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22102</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住房改革支出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5344.95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5344.95</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2210201</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住房公积金</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3273.62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3273.62</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2210203</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购房补贴</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2071.33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2071.33</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20"/>
                <w:szCs w:val="20"/>
              </w:rPr>
            </w:pPr>
          </w:p>
        </w:tc>
      </w:tr>
      <w:tr>
        <w:trPr>
          <w:trHeight w:val="45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229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其他支出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407.64</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407.64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r>
      <w:tr>
        <w:trPr>
          <w:trHeight w:val="45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bCs/>
                <w:sz w:val="16"/>
              </w:rPr>
            </w:pPr>
            <w:r>
              <w:rPr>
                <w:rFonts w:ascii="Times New Roman" w:eastAsia="宋体" w:cs="Times New Roman" w:hAnsi="Times New Roman"/>
                <w:b/>
                <w:bCs/>
                <w:sz w:val="16"/>
              </w:rPr>
              <w:t xml:space="preserve">  22998</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bCs/>
                <w:sz w:val="16"/>
              </w:rPr>
            </w:pPr>
            <w:r>
              <w:rPr>
                <w:rFonts w:ascii="宋体" w:eastAsia="宋体" w:cs="宋体"/>
                <w:b/>
                <w:bCs/>
                <w:sz w:val="16"/>
              </w:rPr>
              <w:t xml:space="preserve">  超长期特别国债安排的其他支出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407.64</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407.64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r>
      <w:tr>
        <w:trPr>
          <w:trHeight w:val="456"/>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sz w:val="16"/>
              </w:rPr>
            </w:pPr>
            <w:r>
              <w:rPr>
                <w:rFonts w:ascii="Times New Roman" w:eastAsia="宋体" w:cs="Times New Roman" w:hAnsi="Times New Roman"/>
                <w:sz w:val="16"/>
              </w:rPr>
              <w:t xml:space="preserve">    2299899</w:t>
            </w: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sz w:val="16"/>
              </w:rPr>
            </w:pPr>
            <w:r>
              <w:rPr>
                <w:rFonts w:ascii="宋体" w:eastAsia="宋体" w:cs="宋体"/>
                <w:sz w:val="16"/>
              </w:rPr>
              <w:t xml:space="preserve">    其他支出</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407.64</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sz w:val="16"/>
                <w:szCs w:val="16"/>
              </w:rPr>
            </w:pPr>
            <w:r>
              <w:rPr>
                <w:rFonts w:ascii="Times New Roman" w:eastAsia="宋体" w:cs="Times New Roman" w:hAnsi="Times New Roman"/>
                <w:sz w:val="16"/>
                <w:szCs w:val="16"/>
              </w:rPr>
              <w:t>407.64</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r>
      <w:tr>
        <w:trPr>
          <w:trHeight w:val="457"/>
        </w:trPr>
        <w:tc>
          <w:tcPr>
            <w:tcW w:w="118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i w:val="0"/>
                <w:sz w:val="16"/>
              </w:rPr>
            </w:pPr>
          </w:p>
        </w:tc>
        <w:tc>
          <w:tcPr>
            <w:tcW w:w="222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b/>
                <w:i w:val="0"/>
                <w:sz w:val="16"/>
              </w:rPr>
            </w:pPr>
            <w:r>
              <w:rPr>
                <w:rFonts w:ascii="宋体" w:eastAsia="宋体" w:cs="宋体"/>
                <w:b/>
                <w:i w:val="0"/>
                <w:sz w:val="16"/>
              </w:rPr>
              <w:t>合        计</w:t>
            </w:r>
          </w:p>
        </w:tc>
        <w:tc>
          <w:tcPr>
            <w:tcW w:w="105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16"/>
                <w:szCs w:val="16"/>
              </w:rPr>
            </w:pPr>
            <w:r>
              <w:rPr>
                <w:rFonts w:ascii="Times New Roman" w:eastAsia="宋体" w:cs="Times New Roman" w:hAnsi="Times New Roman"/>
                <w:b/>
                <w:i w:val="0"/>
                <w:sz w:val="16"/>
                <w:szCs w:val="16"/>
              </w:rPr>
              <w:t>80221.8</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16"/>
                <w:szCs w:val="16"/>
              </w:rPr>
            </w:pPr>
            <w:r>
              <w:rPr>
                <w:rFonts w:ascii="Times New Roman" w:eastAsia="宋体" w:cs="Times New Roman" w:hAnsi="Times New Roman"/>
                <w:b/>
                <w:i w:val="0"/>
                <w:sz w:val="16"/>
                <w:szCs w:val="16"/>
              </w:rPr>
              <w:t>71905.39</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16"/>
                <w:szCs w:val="16"/>
              </w:rPr>
            </w:pPr>
            <w:r>
              <w:rPr>
                <w:rFonts w:ascii="Times New Roman" w:eastAsia="宋体" w:cs="Times New Roman" w:hAnsi="Times New Roman"/>
                <w:b/>
                <w:i w:val="0"/>
                <w:sz w:val="16"/>
                <w:szCs w:val="16"/>
              </w:rPr>
              <w:t>8316.41</w:t>
            </w:r>
          </w:p>
        </w:tc>
        <w:tc>
          <w:tcPr>
            <w:tcW w:w="71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8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c>
          <w:tcPr>
            <w:tcW w:w="10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sz w:val="20"/>
                <w:szCs w:val="20"/>
              </w:rPr>
            </w:pPr>
          </w:p>
        </w:tc>
      </w:tr>
    </w:tbl>
    <w:p>
      <w:pPr>
        <w:keepNext w:val="0"/>
        <w:widowControl w:val="0"/>
        <w:rPr>
          <w:rFonts w:ascii="Times New Roman" w:eastAsia="方正仿宋_GBK" w:hAnsi="Times New Roman"/>
          <w:sz w:val="32"/>
          <w:szCs w:val="32"/>
        </w:rPr>
      </w:pPr>
    </w:p>
    <w:p>
      <w:pPr>
        <w:keepNext w:val="0"/>
        <w:widowControl w:val="0"/>
        <w:rPr>
          <w:rFonts w:ascii="Times New Roman" w:eastAsia="方正仿宋_GBK" w:hAnsi="Times New Roman"/>
          <w:sz w:val="32"/>
          <w:szCs w:val="32"/>
        </w:rPr>
      </w:pPr>
    </w:p>
    <w:p>
      <w:pPr>
        <w:rPr>
          <w:rFonts w:ascii="Times New Roman" w:eastAsia="方正仿宋_GBK" w:hAnsi="Times New Roman"/>
          <w:sz w:val="32"/>
          <w:szCs w:val="32"/>
        </w:rPr>
        <w:sectPr>
          <w:type w:val="continuous"/>
          <w:pgSz w:w="11906" w:h="16838"/>
          <w:pgMar w:top="1800" w:right="1440" w:bottom="1800" w:left="1440" w:header="851" w:footer="992" w:gutter="0"/>
          <w:pgNumType/>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8"/>
        </w:trPr>
        <w:tc>
          <w:tcPr>
            <w:tcW w:w="11199" w:type="dxa"/>
            <w:gridSpan w:val="3"/>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jc w:val="right"/>
              <w:rPr>
                <w:rFonts w:ascii="黑体" w:eastAsia="黑体" w:cs="宋体" w:hint="eastAsia"/>
                <w:color w:val="000000"/>
                <w:kern w:val="0"/>
                <w:sz w:val="20"/>
                <w:szCs w:val="20"/>
              </w:rPr>
            </w:pPr>
            <w:r>
              <w:rPr>
                <w:rFonts w:ascii="黑体" w:eastAsia="黑体" w:cs="宋体"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eastAsia="宋体" w:cs="宋体" w:hAnsi="Times New Roman"/>
                <w:color w:val="000000"/>
                <w:kern w:val="0"/>
                <w:sz w:val="36"/>
                <w:szCs w:val="36"/>
              </w:rPr>
            </w:pPr>
            <w:r>
              <w:rPr>
                <w:rFonts w:ascii="Times New Roman" w:eastAsia="宋体"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预算数</w:t>
            </w:r>
          </w:p>
        </w:tc>
        <w:tc>
          <w:tcPr>
            <w:tcW w:w="4253"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一、本年收入</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36445.51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一、本年支出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37615.97</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36445.51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26075.46</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2431.72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3333.01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1516.83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二、上年结转</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1170.46</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3851.31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762.82</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color w:val="000000"/>
                <w:kern w:val="0"/>
                <w:sz w:val="20"/>
                <w:szCs w:val="20"/>
              </w:rPr>
              <w:t>（六）其他支出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407.64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r>
              <w:rPr>
                <w:rFonts w:ascii="Times New Roman" w:eastAsia="宋体" w:cs="Times New Roman" w:hAnsi="Times New Roman"/>
                <w:color w:val="000000"/>
                <w:sz w:val="20"/>
                <w:szCs w:val="20"/>
              </w:rPr>
              <w:t>407.64</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color w:val="00000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color w:val="000000"/>
                <w:kern w:val="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b/>
                <w:bCs/>
                <w:color w:val="000000"/>
                <w:kern w:val="0"/>
                <w:sz w:val="20"/>
                <w:szCs w:val="20"/>
              </w:rPr>
            </w:pPr>
            <w:r>
              <w:rPr>
                <w:rFonts w:ascii="Times New Roman" w:eastAsia="宋体" w:cs="宋体" w:hAnsi="Times New Roman" w:hint="eastAsia"/>
                <w:b/>
                <w:bCs/>
                <w:color w:val="000000"/>
                <w:kern w:val="0"/>
                <w:sz w:val="20"/>
                <w:szCs w:val="20"/>
              </w:rPr>
              <w:t>收    入    总    计</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Times New Roman" w:eastAsia="宋体" w:cs="Times New Roman" w:hAnsi="Times New Roman"/>
                <w:b/>
                <w:bCs/>
                <w:sz w:val="20"/>
                <w:szCs w:val="20"/>
              </w:rPr>
            </w:pPr>
            <w:r>
              <w:rPr>
                <w:rFonts w:ascii="Times New Roman" w:eastAsia="宋体" w:cs="Times New Roman" w:hAnsi="Times New Roman"/>
                <w:b/>
                <w:bCs/>
                <w:sz w:val="20"/>
                <w:szCs w:val="20"/>
              </w:rPr>
              <w:t>37615.97</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b/>
                <w:bCs/>
                <w:color w:val="000000"/>
                <w:kern w:val="0"/>
                <w:sz w:val="20"/>
                <w:szCs w:val="20"/>
              </w:rPr>
            </w:pPr>
            <w:r>
              <w:rPr>
                <w:rFonts w:ascii="Times New Roman" w:eastAsia="宋体" w:cs="宋体" w:hAnsi="Times New Roman" w:hint="eastAsia"/>
                <w:b/>
                <w:bCs/>
                <w:color w:val="000000"/>
                <w:kern w:val="0"/>
                <w:sz w:val="20"/>
                <w:szCs w:val="20"/>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eastAsia="宋体" w:cs="Times New Roman" w:hAnsi="Times New Roman"/>
                <w:b/>
                <w:bCs/>
                <w:color w:val="000000"/>
                <w:kern w:val="0"/>
                <w:sz w:val="20"/>
                <w:szCs w:val="20"/>
              </w:rPr>
            </w:pPr>
            <w:r>
              <w:rPr>
                <w:rFonts w:ascii="Times New Roman" w:eastAsia="宋体" w:cs="Times New Roman" w:hAnsi="Times New Roman"/>
                <w:b/>
                <w:bCs/>
                <w:color w:val="000000"/>
                <w:kern w:val="0"/>
                <w:sz w:val="20"/>
                <w:szCs w:val="20"/>
              </w:rPr>
              <w:t>37615.97</w:t>
            </w:r>
          </w:p>
        </w:tc>
      </w:tr>
    </w:tbl>
    <w:p>
      <w:pPr>
        <w:jc w:val="left"/>
        <w:rPr>
          <w:rFonts w:ascii="Times New Roman" w:eastAsia="方正仿宋_GBK" w:hAnsi="Times New Roman"/>
          <w:sz w:val="32"/>
          <w:szCs w:val="32"/>
        </w:rPr>
      </w:pPr>
    </w:p>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center"/>
        <w:tblW w:w="141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36"/>
        <w:gridCol w:w="2225"/>
        <w:gridCol w:w="1153"/>
        <w:gridCol w:w="1260"/>
        <w:gridCol w:w="1091"/>
        <w:gridCol w:w="1154"/>
        <w:gridCol w:w="1155"/>
        <w:gridCol w:w="1260"/>
        <w:gridCol w:w="971"/>
        <w:gridCol w:w="945"/>
        <w:gridCol w:w="945"/>
        <w:gridCol w:w="946"/>
      </w:tblGrid>
      <w:tr>
        <w:trPr>
          <w:trHeight w:val="310"/>
        </w:trPr>
        <w:tc>
          <w:tcPr>
            <w:tcW w:w="14141" w:type="dxa"/>
            <w:gridSpan w:val="12"/>
            <w:tcBorders>
              <w:top w:val="nil"/>
              <w:left w:val="nil"/>
              <w:bottom w:val="nil"/>
              <w:right w:val="nil"/>
              <w:tl2br w:val="nil"/>
              <w:tr2bl w:val="nil"/>
            </w:tcBorders>
            <w:noWrap/>
            <w:vAlign w:val="center"/>
          </w:tcPr>
          <w:p>
            <w:pPr>
              <w:jc w:val="right"/>
            </w:pPr>
            <w:r>
              <w:rPr>
                <w:rFonts w:ascii="黑体" w:eastAsia="黑体"/>
                <w:sz w:val="20"/>
                <w:szCs w:val="20"/>
              </w:rPr>
              <w:t>部门公开表</w:t>
            </w:r>
            <w:r>
              <w:rPr>
                <w:rFonts w:ascii="黑体" w:eastAsia="黑体"/>
                <w:strike w:val="0"/>
                <w:dstrike w:val="0"/>
                <w:sz w:val="20"/>
              </w:rPr>
              <w:t>5</w:t>
            </w:r>
          </w:p>
        </w:tc>
      </w:tr>
      <w:tr>
        <w:trPr>
          <w:trHeight w:val="620"/>
        </w:trPr>
        <w:tc>
          <w:tcPr>
            <w:tcW w:w="14141" w:type="dxa"/>
            <w:gridSpan w:val="12"/>
            <w:tcBorders>
              <w:top w:val="nil"/>
              <w:left w:val="nil"/>
              <w:bottom w:val="nil"/>
              <w:right w:val="nil"/>
              <w:tl2br w:val="nil"/>
              <w:tr2bl w:val="nil"/>
            </w:tcBorders>
            <w:noWrap/>
            <w:vAlign w:val="center"/>
          </w:tcPr>
          <w:p>
            <w:pPr>
              <w:jc w:val="center"/>
            </w:pPr>
            <w:r>
              <w:rPr>
                <w:rFonts w:ascii="宋体" w:eastAsia="宋体"/>
                <w:sz w:val="36"/>
                <w:szCs w:val="36"/>
              </w:rPr>
              <w:t>一般公共预算支出表</w:t>
            </w:r>
          </w:p>
        </w:tc>
      </w:tr>
      <w:tr>
        <w:trPr>
          <w:trHeight w:val="310"/>
        </w:trPr>
        <w:tc>
          <w:tcPr>
            <w:tcW w:w="1036" w:type="dxa"/>
            <w:tcBorders>
              <w:top w:val="nil"/>
              <w:left w:val="nil"/>
              <w:bottom w:val="nil"/>
              <w:right w:val="nil"/>
              <w:tl2br w:val="nil"/>
              <w:tr2bl w:val="nil"/>
            </w:tcBorders>
            <w:noWrap/>
            <w:vAlign w:val="center"/>
          </w:tcPr>
          <w:p>
            <w:r>
              <w:rPr>
                <w:rFonts w:ascii="宋体" w:eastAsia="宋体"/>
                <w:sz w:val="16"/>
                <w:szCs w:val="16"/>
              </w:rPr>
              <w:t>　</w:t>
            </w:r>
          </w:p>
        </w:tc>
        <w:tc>
          <w:tcPr>
            <w:tcW w:w="2225" w:type="dxa"/>
            <w:tcBorders>
              <w:top w:val="nil"/>
              <w:left w:val="nil"/>
              <w:bottom w:val="nil"/>
              <w:right w:val="nil"/>
              <w:tl2br w:val="nil"/>
              <w:tr2bl w:val="nil"/>
            </w:tcBorders>
            <w:noWrap/>
            <w:vAlign w:val="center"/>
          </w:tcPr>
          <w:p>
            <w:r>
              <w:rPr>
                <w:rFonts w:ascii="宋体" w:eastAsia="宋体"/>
                <w:sz w:val="16"/>
                <w:szCs w:val="16"/>
              </w:rPr>
              <w:t>　</w:t>
            </w:r>
          </w:p>
        </w:tc>
        <w:tc>
          <w:tcPr>
            <w:tcW w:w="1153" w:type="dxa"/>
            <w:tcBorders>
              <w:top w:val="nil"/>
              <w:left w:val="nil"/>
              <w:bottom w:val="nil"/>
              <w:right w:val="nil"/>
              <w:tl2br w:val="nil"/>
              <w:tr2bl w:val="nil"/>
            </w:tcBorders>
            <w:noWrap/>
            <w:vAlign w:val="center"/>
          </w:tcPr>
          <w:p>
            <w:r>
              <w:rPr>
                <w:rFonts w:ascii="宋体" w:eastAsia="宋体"/>
                <w:sz w:val="16"/>
                <w:szCs w:val="16"/>
              </w:rPr>
              <w:t>　</w:t>
            </w:r>
          </w:p>
        </w:tc>
        <w:tc>
          <w:tcPr>
            <w:tcW w:w="1260" w:type="dxa"/>
            <w:tcBorders>
              <w:top w:val="nil"/>
              <w:left w:val="nil"/>
              <w:bottom w:val="nil"/>
              <w:right w:val="nil"/>
              <w:tl2br w:val="nil"/>
              <w:tr2bl w:val="nil"/>
            </w:tcBorders>
            <w:noWrap/>
            <w:vAlign w:val="center"/>
          </w:tcPr>
          <w:p>
            <w:r>
              <w:rPr>
                <w:rFonts w:ascii="宋体" w:eastAsia="宋体"/>
                <w:sz w:val="16"/>
                <w:szCs w:val="16"/>
              </w:rPr>
              <w:t>　</w:t>
            </w:r>
          </w:p>
        </w:tc>
        <w:tc>
          <w:tcPr>
            <w:tcW w:w="1091" w:type="dxa"/>
            <w:tcBorders>
              <w:top w:val="nil"/>
              <w:left w:val="nil"/>
              <w:bottom w:val="nil"/>
              <w:right w:val="nil"/>
              <w:tl2br w:val="nil"/>
              <w:tr2bl w:val="nil"/>
            </w:tcBorders>
            <w:noWrap/>
            <w:vAlign w:val="center"/>
          </w:tcPr>
          <w:p>
            <w:r>
              <w:rPr>
                <w:rFonts w:ascii="宋体" w:eastAsia="宋体"/>
                <w:sz w:val="16"/>
                <w:szCs w:val="16"/>
              </w:rPr>
              <w:t>　</w:t>
            </w:r>
          </w:p>
        </w:tc>
        <w:tc>
          <w:tcPr>
            <w:tcW w:w="1154" w:type="dxa"/>
            <w:tcBorders>
              <w:top w:val="nil"/>
              <w:left w:val="nil"/>
              <w:bottom w:val="nil"/>
              <w:right w:val="nil"/>
              <w:tl2br w:val="nil"/>
              <w:tr2bl w:val="nil"/>
            </w:tcBorders>
            <w:noWrap/>
            <w:vAlign w:val="center"/>
          </w:tcPr>
          <w:p>
            <w:r>
              <w:rPr>
                <w:rFonts w:ascii="宋体" w:eastAsia="宋体"/>
                <w:sz w:val="16"/>
                <w:szCs w:val="16"/>
              </w:rPr>
              <w:t>　</w:t>
            </w:r>
          </w:p>
        </w:tc>
        <w:tc>
          <w:tcPr>
            <w:tcW w:w="1155" w:type="dxa"/>
            <w:tcBorders>
              <w:top w:val="nil"/>
              <w:left w:val="nil"/>
              <w:bottom w:val="nil"/>
              <w:right w:val="nil"/>
              <w:tl2br w:val="nil"/>
              <w:tr2bl w:val="nil"/>
            </w:tcBorders>
            <w:noWrap/>
            <w:vAlign w:val="center"/>
          </w:tcPr>
          <w:p>
            <w:r>
              <w:rPr>
                <w:rFonts w:ascii="宋体" w:eastAsia="宋体"/>
                <w:sz w:val="16"/>
                <w:szCs w:val="16"/>
              </w:rPr>
              <w:t>　</w:t>
            </w:r>
          </w:p>
        </w:tc>
        <w:tc>
          <w:tcPr>
            <w:tcW w:w="1260" w:type="dxa"/>
            <w:tcBorders>
              <w:top w:val="nil"/>
              <w:left w:val="nil"/>
              <w:bottom w:val="nil"/>
              <w:right w:val="nil"/>
              <w:tl2br w:val="nil"/>
              <w:tr2bl w:val="nil"/>
            </w:tcBorders>
            <w:noWrap/>
            <w:vAlign w:val="center"/>
          </w:tcPr>
          <w:p>
            <w:r>
              <w:rPr>
                <w:rFonts w:ascii="宋体" w:eastAsia="宋体"/>
                <w:sz w:val="16"/>
                <w:szCs w:val="16"/>
              </w:rPr>
              <w:t>　</w:t>
            </w:r>
          </w:p>
        </w:tc>
        <w:tc>
          <w:tcPr>
            <w:tcW w:w="971" w:type="dxa"/>
            <w:tcBorders>
              <w:top w:val="nil"/>
              <w:left w:val="nil"/>
              <w:bottom w:val="nil"/>
              <w:right w:val="nil"/>
              <w:tl2br w:val="nil"/>
              <w:tr2bl w:val="nil"/>
            </w:tcBorders>
            <w:noWrap/>
            <w:vAlign w:val="center"/>
          </w:tcPr>
          <w:p>
            <w:r>
              <w:rPr>
                <w:rFonts w:ascii="宋体" w:eastAsia="宋体"/>
                <w:sz w:val="16"/>
                <w:szCs w:val="16"/>
              </w:rPr>
              <w:t>　</w:t>
            </w:r>
          </w:p>
        </w:tc>
        <w:tc>
          <w:tcPr>
            <w:tcW w:w="945" w:type="dxa"/>
            <w:tcBorders>
              <w:top w:val="nil"/>
              <w:left w:val="nil"/>
              <w:bottom w:val="nil"/>
              <w:right w:val="nil"/>
              <w:tl2br w:val="nil"/>
              <w:tr2bl w:val="nil"/>
            </w:tcBorders>
            <w:noWrap/>
            <w:vAlign w:val="center"/>
          </w:tcPr>
          <w:p>
            <w:pPr>
              <w:rPr>
                <w:rFonts w:ascii="宋体" w:eastAsia="宋体"/>
                <w:sz w:val="16"/>
              </w:rPr>
            </w:pPr>
          </w:p>
        </w:tc>
        <w:tc>
          <w:tcPr>
            <w:tcW w:w="945" w:type="dxa"/>
            <w:tcBorders>
              <w:top w:val="nil"/>
              <w:left w:val="nil"/>
              <w:bottom w:val="nil"/>
              <w:right w:val="nil"/>
              <w:tl2br w:val="nil"/>
              <w:tr2bl w:val="nil"/>
            </w:tcBorders>
            <w:noWrap/>
            <w:vAlign w:val="center"/>
          </w:tcPr>
          <w:p>
            <w:r>
              <w:rPr>
                <w:rFonts w:ascii="宋体" w:eastAsia="宋体"/>
                <w:sz w:val="16"/>
                <w:szCs w:val="16"/>
              </w:rPr>
              <w:t>　</w:t>
            </w:r>
          </w:p>
        </w:tc>
        <w:tc>
          <w:tcPr>
            <w:tcW w:w="945" w:type="dxa"/>
            <w:tcBorders>
              <w:top w:val="nil"/>
              <w:left w:val="nil"/>
              <w:bottom w:val="nil"/>
              <w:right w:val="nil"/>
              <w:tl2br w:val="nil"/>
              <w:tr2bl w:val="nil"/>
            </w:tcBorders>
            <w:noWrap/>
            <w:vAlign w:val="center"/>
          </w:tcPr>
          <w:p>
            <w:pPr>
              <w:jc w:val="right"/>
            </w:pPr>
            <w:r>
              <w:rPr>
                <w:rFonts w:ascii="宋体" w:eastAsia="宋体"/>
                <w:sz w:val="16"/>
                <w:szCs w:val="16"/>
              </w:rPr>
              <w:t>单位：万元</w:t>
            </w:r>
          </w:p>
        </w:tc>
      </w:tr>
      <w:tr>
        <w:trPr>
          <w:trHeight w:val="931"/>
        </w:trPr>
        <w:tc>
          <w:tcPr>
            <w:tcW w:w="32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功能分类科目</w:t>
            </w:r>
          </w:p>
        </w:tc>
        <w:tc>
          <w:tcPr>
            <w:tcW w:w="24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2024</w:t>
            </w:r>
            <w:r>
              <w:rPr>
                <w:rFonts w:ascii="宋体" w:eastAsia="宋体"/>
                <w:strike w:val="0"/>
                <w:dstrike w:val="0"/>
                <w:sz w:val="16"/>
              </w:rPr>
              <w:t>年执行数</w:t>
            </w:r>
          </w:p>
        </w:tc>
        <w:tc>
          <w:tcPr>
            <w:tcW w:w="4660" w:type="dxa"/>
            <w:gridSpan w:val="4"/>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2025</w:t>
            </w:r>
            <w:r>
              <w:rPr>
                <w:rFonts w:ascii="宋体" w:eastAsia="宋体"/>
                <w:strike w:val="0"/>
                <w:dstrike w:val="0"/>
                <w:sz w:val="16"/>
              </w:rPr>
              <w:t>年预算数</w:t>
            </w:r>
          </w:p>
        </w:tc>
        <w:tc>
          <w:tcPr>
            <w:tcW w:w="191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2025</w:t>
            </w:r>
            <w:r>
              <w:rPr>
                <w:rFonts w:ascii="宋体" w:eastAsia="宋体"/>
                <w:strike w:val="0"/>
                <w:dstrike w:val="0"/>
                <w:sz w:val="16"/>
              </w:rPr>
              <w:t>年预算数比</w:t>
            </w:r>
            <w:r>
              <w:rPr>
                <w:rFonts w:ascii="Times New Roman" w:hAnsi="Times New Roman"/>
                <w:strike w:val="0"/>
                <w:dstrike w:val="0"/>
                <w:sz w:val="16"/>
              </w:rPr>
              <w:br/>
              <w:t>2024</w:t>
            </w:r>
            <w:r>
              <w:rPr>
                <w:rFonts w:ascii="宋体" w:eastAsia="宋体"/>
                <w:strike w:val="0"/>
                <w:dstrike w:val="0"/>
                <w:sz w:val="16"/>
              </w:rPr>
              <w:t>年执行数</w:t>
            </w:r>
          </w:p>
        </w:tc>
        <w:tc>
          <w:tcPr>
            <w:tcW w:w="189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2025</w:t>
            </w:r>
            <w:r>
              <w:rPr>
                <w:rFonts w:ascii="宋体" w:eastAsia="宋体"/>
                <w:strike w:val="0"/>
                <w:dstrike w:val="0"/>
                <w:sz w:val="16"/>
              </w:rPr>
              <w:t>年预算数比</w:t>
            </w:r>
            <w:r>
              <w:rPr>
                <w:rFonts w:ascii="Times New Roman" w:hAnsi="Times New Roman"/>
                <w:strike w:val="0"/>
                <w:dstrike w:val="0"/>
                <w:sz w:val="16"/>
              </w:rPr>
              <w:br/>
              <w:t>2024</w:t>
            </w:r>
            <w:r>
              <w:rPr>
                <w:rFonts w:ascii="宋体" w:eastAsia="宋体"/>
                <w:strike w:val="0"/>
                <w:dstrike w:val="0"/>
                <w:sz w:val="16"/>
              </w:rPr>
              <w:t>年执行数</w:t>
            </w:r>
            <w:r>
              <w:rPr>
                <w:rFonts w:ascii="Times New Roman" w:hAnsi="Times New Roman"/>
                <w:strike w:val="0"/>
                <w:dstrike w:val="0"/>
                <w:sz w:val="16"/>
              </w:rPr>
              <w:br/>
            </w:r>
            <w:r>
              <w:rPr>
                <w:rFonts w:ascii="宋体" w:eastAsia="宋体"/>
                <w:strike w:val="0"/>
                <w:dstrike w:val="0"/>
                <w:sz w:val="16"/>
              </w:rPr>
              <w:t>（扣除中央基建投资）</w:t>
            </w:r>
          </w:p>
        </w:tc>
      </w:tr>
      <w:tr>
        <w:trPr>
          <w:trHeight w:val="310"/>
        </w:trPr>
        <w:tc>
          <w:tcPr>
            <w:tcW w:w="103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科目编码</w:t>
            </w:r>
          </w:p>
        </w:tc>
        <w:tc>
          <w:tcPr>
            <w:tcW w:w="22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科目名称</w:t>
            </w:r>
          </w:p>
        </w:tc>
        <w:tc>
          <w:tcPr>
            <w:tcW w:w="115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执行数</w:t>
            </w:r>
          </w:p>
        </w:tc>
        <w:tc>
          <w:tcPr>
            <w:tcW w:w="12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扣除中央基建投资后执行数</w:t>
            </w:r>
          </w:p>
        </w:tc>
        <w:tc>
          <w:tcPr>
            <w:tcW w:w="3400"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年初预算数</w:t>
            </w:r>
          </w:p>
        </w:tc>
        <w:tc>
          <w:tcPr>
            <w:tcW w:w="126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扣除中央基建投资后预算数</w:t>
            </w:r>
          </w:p>
        </w:tc>
        <w:tc>
          <w:tcPr>
            <w:tcW w:w="97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增减额</w:t>
            </w:r>
          </w:p>
        </w:tc>
        <w:tc>
          <w:tcPr>
            <w:tcW w:w="94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增减</w:t>
            </w:r>
            <w:r>
              <w:rPr>
                <w:rFonts w:ascii="Times New Roman" w:hAnsi="Times New Roman"/>
                <w:strike w:val="0"/>
                <w:dstrike w:val="0"/>
                <w:sz w:val="16"/>
              </w:rPr>
              <w:t>(%)</w:t>
            </w:r>
          </w:p>
        </w:tc>
        <w:tc>
          <w:tcPr>
            <w:tcW w:w="94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增减额</w:t>
            </w:r>
          </w:p>
        </w:tc>
        <w:tc>
          <w:tcPr>
            <w:tcW w:w="94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增减</w:t>
            </w:r>
            <w:r>
              <w:rPr>
                <w:rFonts w:ascii="宋体" w:eastAsia="宋体"/>
                <w:strike w:val="0"/>
                <w:dstrike w:val="0"/>
                <w:sz w:val="16"/>
              </w:rPr>
              <w:t>（</w:t>
            </w:r>
            <w:r>
              <w:rPr>
                <w:rFonts w:ascii="Times New Roman" w:hAnsi="Times New Roman"/>
                <w:strike w:val="0"/>
                <w:dstrike w:val="0"/>
                <w:sz w:val="16"/>
              </w:rPr>
              <w:t>%)</w:t>
            </w:r>
          </w:p>
        </w:tc>
      </w:tr>
      <w:tr>
        <w:trPr>
          <w:trHeight w:val="310"/>
        </w:trPr>
        <w:tc>
          <w:tcPr>
            <w:tcW w:w="103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4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17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23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小计</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基本支出</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sz w:val="16"/>
                <w:szCs w:val="16"/>
              </w:rPr>
              <w:t>项目支出</w:t>
            </w:r>
          </w:p>
        </w:tc>
        <w:tc>
          <w:tcPr>
            <w:tcW w:w="117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10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13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1038" w:type="dxa"/>
            <w:vMerge/>
            <w:tcBorders>
              <w:top w:val="single" w:sz="6" w:space="0" w:color="auto"/>
              <w:left w:val="single" w:sz="6" w:space="0" w:color="auto"/>
              <w:bottom w:val="single" w:sz="6" w:space="0" w:color="auto"/>
              <w:right w:val="single" w:sz="6" w:space="0" w:color="auto"/>
              <w:tl2br w:val="nil"/>
              <w:tr2bl w:val="nil"/>
            </w:tcBorders>
            <w:noWrap/>
            <w:vAlign w:val="center"/>
          </w:tcP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一般公共服务支出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23,952.86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23,531.86</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25,524.44</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19,020.87</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6,503.57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25,524.44</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1,571.58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6.56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1,992.58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8.47</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20109</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海关事务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23,952.86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23,531.86</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25,524.44</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19,020.87</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6,503.57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25,524.44</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1,571.58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6.56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1,992.58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8.47</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行政运行</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17,221.29</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17,221.29</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17,552.19</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17,552.19</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17,552.19</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330.90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330.90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1.92</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2010902</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一般行政管理事务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433.00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12.00</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12.00</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-421.00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-97.23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2010903</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机关服务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327.59</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327.59</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332.27</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332.27</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332.27</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4.68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4.68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1.43</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2010905</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缉私办案</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120.80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120.80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138.09</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138.09</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138.09</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17.29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14.31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17.29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14.31</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2010907</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口岸管理</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56.20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56.20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56.20</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56.20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56.20</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2010908</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信息化建设</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402.00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402.00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651.00</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651.00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651.00</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249.00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61.94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249.00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61.94</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2010909</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海关关务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2,911.42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2,911.42</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3,133.73</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3,133.73</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3,133.73</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222.31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7.64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222.31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7.64</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2010910</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关税征管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15.00</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15.00</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0.00</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2010911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海关监管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205.79</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205.79</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143.07</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143.07</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143.07</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-62.72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-30.48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-62.72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-30.48</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2010912</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检验检疫</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1,183.92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1,183.92</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2,354.48</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2,354.48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2,354.48</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1,170.56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98.87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1,170.56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98.87</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2010950</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事业运行</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1,075.85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1,075.85</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1,136.41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1,136.41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1,136.41</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60.56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5.63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60.56</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5.63</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204</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公共安全支出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2,072.26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2,072.26</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2,220.04</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1,577.48</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642.56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2,220.04</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147.78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7.13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147.78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7.13</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20410</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缉私警察</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2,072.26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2,072.26</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2,220.04</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1,577.48</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642.56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2,220.04</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147.78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7.13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147.78</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7.13</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2041001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行政运行</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1,555.34</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1,555.34</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1,577.48</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1,577.48</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1,577.48</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22.14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22.14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1.42</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2041006</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信息化建设</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85.00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85.00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93.50</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93.50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93.50</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8.50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10.00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8.50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10.00</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2041007</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缉私业务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431.92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431.92</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549.06</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549.06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549.06</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117.14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27.12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117.14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27.12</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208</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社会保障和就业支出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3,009.34</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3,009.34</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323.55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10.75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323.55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10.75</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20805</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行政事业单位养老支出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3,009.34</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3,009.34</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3,332.89</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323.55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10.75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323.55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10.75</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2080501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行政单位离退休</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53.96</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53.96</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60.03</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60.03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60.03</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6.07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11.25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6.07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11.25</w:t>
            </w:r>
          </w:p>
        </w:tc>
      </w:tr>
      <w:tr>
        <w:trPr>
          <w:trHeight w:val="485"/>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2080505</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机关事业单位基本养老保险缴费支出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1,922.25</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1,922.25</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1,981.32</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1,981.32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1,981.32</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59.07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59.07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3.07</w:t>
            </w:r>
          </w:p>
        </w:tc>
      </w:tr>
      <w:tr>
        <w:trPr>
          <w:trHeight w:val="47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2080506</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机关事业单位职业年金缴费支出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1,033.13</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1,033.13</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1,291.54</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1,291.54</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1,291.54</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258.41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25.01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258.41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25.01</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210</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卫生健康支出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1,496.78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1,496.78</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20.05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20.05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1.34</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21011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行政事业单位医疗</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1,496.78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1,496.78</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1,516.83</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20.05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20.05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1.34</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2101101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行政单位医疗</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1,080.63</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1,080.63</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1,028.82</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1,028.82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1,028.82</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-51.81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-4.79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-51.81</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-4.79</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2101103</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公务员医疗补助</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398.02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398.02</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470.05</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470.05</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470.05</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72.03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18.10</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72.03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18.10</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2101199</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其他行政事业单位医疗支出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18.13</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18.13</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17.96</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17.96</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17.96</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-0.17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-0.94</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-0.17</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-0.94</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221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住房保障支出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3,777.78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3,777.78</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73.53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73.53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1.95</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rPr>
                <w:rFonts w:ascii="Times New Roman" w:eastAsia="宋体" w:cs="Times New Roman" w:hAnsi="Times New Roman"/>
                <w:b/>
                <w:i w:val="0"/>
                <w:color w:val="000000"/>
                <w:sz w:val="16"/>
              </w:rPr>
            </w:pPr>
            <w:r>
              <w:rPr>
                <w:rFonts w:ascii="Times New Roman" w:eastAsia="宋体" w:cs="Times New Roman" w:hAnsi="Times New Roman"/>
                <w:b/>
                <w:i w:val="0"/>
                <w:color w:val="000000"/>
                <w:sz w:val="16"/>
              </w:rPr>
              <w:t>22102</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b/>
                <w:color w:val="000000"/>
                <w:sz w:val="16"/>
                <w:szCs w:val="16"/>
              </w:rPr>
              <w:t xml:space="preserve">    </w:t>
            </w:r>
            <w:r>
              <w:rPr>
                <w:rFonts w:ascii="宋体" w:eastAsia="宋体"/>
                <w:b/>
                <w:strike w:val="0"/>
                <w:dstrike w:val="0"/>
                <w:color w:val="000000"/>
                <w:sz w:val="16"/>
              </w:rPr>
              <w:t>住房改革支出</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3,777.78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3,777.78</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3,851.31</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73.53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73.53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1.95</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2210201</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住房公积金</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2,209.30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2,209.30</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2,444.62</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2,444.62</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2,444.62</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235.32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10.65</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235.32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10.65</w:t>
            </w:r>
          </w:p>
        </w:tc>
      </w:tr>
      <w:tr>
        <w:trPr>
          <w:trHeight w:val="310"/>
        </w:trPr>
        <w:tc>
          <w:tcPr>
            <w:tcW w:w="10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Times New Roman" w:eastAsia="宋体" w:cs="Times New Roman" w:hAnsi="Times New Roman"/>
                <w:color w:val="000000"/>
                <w:sz w:val="16"/>
              </w:rPr>
            </w:pPr>
            <w:r>
              <w:rPr>
                <w:rFonts w:ascii="Times New Roman" w:eastAsia="宋体" w:cs="Times New Roman" w:hAnsi="Times New Roman"/>
                <w:color w:val="000000"/>
                <w:sz w:val="16"/>
              </w:rPr>
              <w:t>2210203</w:t>
            </w:r>
          </w:p>
        </w:tc>
        <w:tc>
          <w:tcPr>
            <w:tcW w:w="2225" w:type="dxa"/>
            <w:tcBorders>
              <w:top w:val="single" w:sz="6" w:space="0" w:color="auto"/>
              <w:left w:val="single" w:sz="6" w:space="0" w:color="auto"/>
              <w:bottom w:val="single" w:sz="6" w:space="0" w:color="auto"/>
              <w:right w:val="single" w:sz="6" w:space="0" w:color="auto"/>
              <w:tl2br w:val="nil"/>
              <w:tr2bl w:val="nil"/>
            </w:tcBorders>
            <w:noWrap/>
            <w:vAlign w:val="center"/>
          </w:tcPr>
          <w:p>
            <w:r>
              <w:rPr>
                <w:rFonts w:ascii="宋体" w:eastAsia="宋体"/>
                <w:color w:val="000000"/>
                <w:sz w:val="16"/>
                <w:szCs w:val="16"/>
              </w:rPr>
              <w:t>购房补贴</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1,568.48</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1,568.48</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1,406.69</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1,406.69</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0.00</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1,406.69</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-161.79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-10.32</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-161.79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color w:val="000000"/>
                <w:sz w:val="16"/>
                <w:szCs w:val="16"/>
              </w:rPr>
            </w:pPr>
            <w:r>
              <w:rPr>
                <w:rFonts w:ascii="Times New Roman" w:cs="Times New Roman" w:hAnsi="Times New Roman"/>
                <w:color w:val="000000"/>
                <w:sz w:val="16"/>
                <w:szCs w:val="16"/>
              </w:rPr>
              <w:t>-10.32</w:t>
            </w:r>
          </w:p>
        </w:tc>
      </w:tr>
      <w:tr>
        <w:trPr>
          <w:trHeight w:val="310"/>
        </w:trPr>
        <w:tc>
          <w:tcPr>
            <w:tcW w:w="326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b/>
                <w:color w:val="000000"/>
                <w:sz w:val="16"/>
                <w:szCs w:val="16"/>
              </w:rPr>
              <w:t>合</w:t>
            </w:r>
            <w:r>
              <w:rPr>
                <w:rFonts w:ascii="Times New Roman" w:hAnsi="Times New Roman"/>
                <w:b/>
                <w:strike w:val="0"/>
                <w:dstrike w:val="0"/>
                <w:color w:val="000000"/>
                <w:sz w:val="16"/>
              </w:rPr>
              <w:t xml:space="preserve">      </w:t>
            </w:r>
            <w:r>
              <w:rPr>
                <w:rFonts w:ascii="宋体" w:eastAsia="宋体"/>
                <w:b/>
                <w:strike w:val="0"/>
                <w:dstrike w:val="0"/>
                <w:color w:val="000000"/>
                <w:sz w:val="16"/>
              </w:rPr>
              <w:t>计</w:t>
            </w:r>
          </w:p>
        </w:tc>
        <w:tc>
          <w:tcPr>
            <w:tcW w:w="1153"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34,309.02</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33,888.02</w:t>
            </w:r>
          </w:p>
        </w:tc>
        <w:tc>
          <w:tcPr>
            <w:tcW w:w="109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36,445.51</w:t>
            </w:r>
          </w:p>
        </w:tc>
        <w:tc>
          <w:tcPr>
            <w:tcW w:w="1154"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29,299.38</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7,146.13</w:t>
            </w:r>
          </w:p>
        </w:tc>
        <w:tc>
          <w:tcPr>
            <w:tcW w:w="126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36,445.51</w:t>
            </w:r>
          </w:p>
        </w:tc>
        <w:tc>
          <w:tcPr>
            <w:tcW w:w="97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2,136.49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6.23</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2,557.49</w:t>
            </w:r>
          </w:p>
        </w:tc>
        <w:tc>
          <w:tcPr>
            <w:tcW w:w="94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Times New Roman" w:cs="Times New Roman" w:hAnsi="Times New Roman"/>
                <w:b/>
                <w:bCs/>
                <w:color w:val="000000"/>
                <w:sz w:val="16"/>
                <w:szCs w:val="16"/>
              </w:rPr>
            </w:pPr>
            <w:r>
              <w:rPr>
                <w:rFonts w:ascii="Times New Roman" w:cs="Times New Roman" w:hAnsi="Times New Roman"/>
                <w:b/>
                <w:bCs/>
                <w:color w:val="000000"/>
                <w:sz w:val="16"/>
                <w:szCs w:val="16"/>
              </w:rPr>
              <w:t>7.55</w:t>
            </w:r>
          </w:p>
        </w:tc>
      </w:tr>
    </w:tbl>
    <w:p>
      <w:pPr>
        <w:rPr>
          <w:rFonts w:ascii="宋体" w:eastAsia="宋体"/>
          <w:sz w:val="24"/>
        </w:rPr>
        <w:sectPr>
          <w:pgSz w:w="16838" w:h="11906" w:orient="landscape"/>
          <w:pgMar w:top="1800" w:right="1440" w:bottom="1800" w:left="1440" w:header="851" w:footer="992" w:gutter="0"/>
          <w:pgNumType/>
          <w:docGrid w:type="lines" w:linePitch="312" w:charSpace="0"/>
        </w:sectPr>
      </w:pPr>
      <w:bookmarkStart w:id="1" w:name="RANGE!A1:E71"/>
      <w:bookmarkEnd w:id="1"/>
    </w:p>
    <w:tbl>
      <w:tblPr>
        <w:jc w:val="center"/>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32"/>
        <w:gridCol w:w="3221"/>
        <w:gridCol w:w="1418"/>
        <w:gridCol w:w="1537"/>
        <w:gridCol w:w="1365"/>
      </w:tblGrid>
      <w:tr>
        <w:trPr>
          <w:trHeight w:val="624"/>
        </w:trPr>
        <w:tc>
          <w:tcPr>
            <w:tcW w:w="1232" w:type="dxa"/>
            <w:tcBorders>
              <w:top w:val="nil"/>
              <w:left w:val="nil"/>
              <w:bottom w:val="nil"/>
              <w:right w:val="nil"/>
              <w:tl2br w:val="nil"/>
              <w:tr2bl w:val="nil"/>
            </w:tcBorders>
            <w:noWrap/>
            <w:vAlign w:val="center"/>
          </w:tcPr>
          <w:p>
            <w:pPr>
              <w:rPr>
                <w:rFonts w:ascii="宋体" w:eastAsia="宋体"/>
                <w:sz w:val="24"/>
              </w:rPr>
            </w:pPr>
          </w:p>
        </w:tc>
        <w:tc>
          <w:tcPr>
            <w:tcW w:w="3220" w:type="dxa"/>
            <w:tcBorders>
              <w:top w:val="nil"/>
              <w:left w:val="nil"/>
              <w:bottom w:val="nil"/>
              <w:right w:val="nil"/>
              <w:tl2br w:val="nil"/>
              <w:tr2bl w:val="nil"/>
            </w:tcBorders>
            <w:noWrap/>
            <w:vAlign w:val="center"/>
          </w:tcPr>
          <w:p>
            <w:pPr>
              <w:rPr>
                <w:rFonts w:ascii="Times New Roman" w:eastAsia="Times New Roman" w:hAnsi="Times New Roman"/>
                <w:sz w:val="20"/>
              </w:rPr>
            </w:pPr>
          </w:p>
        </w:tc>
        <w:tc>
          <w:tcPr>
            <w:tcW w:w="1418" w:type="dxa"/>
            <w:tcBorders>
              <w:top w:val="nil"/>
              <w:left w:val="nil"/>
              <w:bottom w:val="nil"/>
              <w:right w:val="nil"/>
              <w:tl2br w:val="nil"/>
              <w:tr2bl w:val="nil"/>
            </w:tcBorders>
            <w:noWrap/>
            <w:vAlign w:val="center"/>
          </w:tcPr>
          <w:p>
            <w:pPr>
              <w:rPr>
                <w:rFonts w:ascii="Times New Roman" w:eastAsia="Times New Roman" w:hAnsi="Times New Roman"/>
                <w:sz w:val="20"/>
              </w:rPr>
            </w:pPr>
          </w:p>
        </w:tc>
        <w:tc>
          <w:tcPr>
            <w:tcW w:w="1537" w:type="dxa"/>
            <w:tcBorders>
              <w:top w:val="nil"/>
              <w:left w:val="nil"/>
              <w:bottom w:val="nil"/>
              <w:right w:val="nil"/>
              <w:tl2br w:val="nil"/>
              <w:tr2bl w:val="nil"/>
            </w:tcBorders>
            <w:noWrap/>
            <w:vAlign w:val="center"/>
          </w:tcPr>
          <w:p>
            <w:pPr>
              <w:jc w:val="center"/>
              <w:rPr>
                <w:rFonts w:ascii="Times New Roman" w:eastAsia="Times New Roman" w:hAnsi="Times New Roman"/>
                <w:sz w:val="20"/>
              </w:rPr>
            </w:pPr>
          </w:p>
        </w:tc>
        <w:tc>
          <w:tcPr>
            <w:tcW w:w="1365" w:type="dxa"/>
            <w:tcBorders>
              <w:top w:val="nil"/>
              <w:left w:val="nil"/>
              <w:bottom w:val="nil"/>
              <w:right w:val="nil"/>
              <w:tl2br w:val="nil"/>
              <w:tr2bl w:val="nil"/>
            </w:tcBorders>
            <w:noWrap/>
            <w:vAlign w:val="center"/>
          </w:tcPr>
          <w:p>
            <w:pPr>
              <w:jc w:val="right"/>
            </w:pPr>
            <w:r>
              <w:rPr>
                <w:rFonts w:ascii="黑体" w:eastAsia="黑体"/>
                <w:color w:val="000000"/>
                <w:sz w:val="20"/>
                <w:szCs w:val="20"/>
              </w:rPr>
              <w:t>部门公开表</w:t>
            </w:r>
            <w:r>
              <w:rPr>
                <w:rFonts w:ascii="Times New Roman" w:hAnsi="Times New Roman"/>
                <w:strike w:val="0"/>
                <w:dstrike w:val="0"/>
                <w:color w:val="000000"/>
                <w:sz w:val="20"/>
              </w:rPr>
              <w:t>6</w:t>
            </w:r>
          </w:p>
        </w:tc>
      </w:tr>
      <w:tr>
        <w:trPr>
          <w:trHeight w:val="624"/>
        </w:trPr>
        <w:tc>
          <w:tcPr>
            <w:tcW w:w="8773" w:type="dxa"/>
            <w:gridSpan w:val="5"/>
            <w:tcBorders>
              <w:top w:val="nil"/>
              <w:left w:val="nil"/>
              <w:bottom w:val="nil"/>
              <w:right w:val="nil"/>
              <w:tl2br w:val="nil"/>
              <w:tr2bl w:val="nil"/>
            </w:tcBorders>
            <w:noWrap/>
            <w:vAlign w:val="center"/>
          </w:tcPr>
          <w:p>
            <w:pPr>
              <w:jc w:val="center"/>
            </w:pPr>
            <w:r>
              <w:rPr>
                <w:rFonts w:ascii="宋体" w:eastAsia="宋体"/>
                <w:sz w:val="36"/>
                <w:szCs w:val="36"/>
              </w:rPr>
              <w:t>一般公共预算基本支出表</w:t>
            </w:r>
          </w:p>
        </w:tc>
      </w:tr>
      <w:tr>
        <w:trPr>
          <w:trHeight w:val="312"/>
        </w:trPr>
        <w:tc>
          <w:tcPr>
            <w:tcW w:w="1232" w:type="dxa"/>
            <w:tcBorders>
              <w:top w:val="nil"/>
              <w:left w:val="nil"/>
              <w:bottom w:val="nil"/>
              <w:right w:val="nil"/>
              <w:tl2br w:val="nil"/>
              <w:tr2bl w:val="nil"/>
            </w:tcBorders>
            <w:noWrap/>
            <w:vAlign w:val="center"/>
          </w:tcPr>
          <w:p>
            <w:pPr>
              <w:jc w:val="center"/>
              <w:rPr>
                <w:rFonts w:ascii="宋体" w:eastAsia="宋体"/>
                <w:sz w:val="24"/>
              </w:rPr>
            </w:pPr>
          </w:p>
        </w:tc>
        <w:tc>
          <w:tcPr>
            <w:tcW w:w="3220" w:type="dxa"/>
            <w:tcBorders>
              <w:top w:val="nil"/>
              <w:left w:val="nil"/>
              <w:bottom w:val="nil"/>
              <w:right w:val="nil"/>
              <w:tl2br w:val="nil"/>
              <w:tr2bl w:val="nil"/>
            </w:tcBorders>
            <w:noWrap/>
            <w:vAlign w:val="center"/>
          </w:tcPr>
          <w:p>
            <w:r>
              <w:rPr>
                <w:rFonts w:ascii="宋体" w:eastAsia="宋体"/>
                <w:sz w:val="18"/>
                <w:szCs w:val="18"/>
              </w:rPr>
              <w:t>　</w:t>
            </w:r>
          </w:p>
        </w:tc>
        <w:tc>
          <w:tcPr>
            <w:tcW w:w="1418" w:type="dxa"/>
            <w:tcBorders>
              <w:top w:val="nil"/>
              <w:left w:val="nil"/>
              <w:bottom w:val="nil"/>
              <w:right w:val="nil"/>
              <w:tl2br w:val="nil"/>
              <w:tr2bl w:val="nil"/>
            </w:tcBorders>
            <w:noWrap/>
            <w:vAlign w:val="center"/>
          </w:tcPr>
          <w:p>
            <w:pPr>
              <w:jc w:val="center"/>
            </w:pPr>
            <w:r>
              <w:rPr>
                <w:rFonts w:ascii="宋体" w:eastAsia="宋体"/>
                <w:sz w:val="18"/>
                <w:szCs w:val="18"/>
              </w:rPr>
              <w:t>　</w:t>
            </w:r>
          </w:p>
        </w:tc>
        <w:tc>
          <w:tcPr>
            <w:tcW w:w="1537" w:type="dxa"/>
            <w:tcBorders>
              <w:top w:val="nil"/>
              <w:left w:val="nil"/>
              <w:bottom w:val="nil"/>
              <w:right w:val="nil"/>
              <w:tl2br w:val="nil"/>
              <w:tr2bl w:val="nil"/>
            </w:tcBorders>
            <w:noWrap/>
            <w:vAlign w:val="center"/>
          </w:tcPr>
          <w:p>
            <w:pPr>
              <w:jc w:val="center"/>
            </w:pPr>
            <w:r>
              <w:rPr>
                <w:rFonts w:ascii="宋体" w:eastAsia="宋体"/>
                <w:sz w:val="18"/>
                <w:szCs w:val="18"/>
              </w:rPr>
              <w:t>　</w:t>
            </w:r>
          </w:p>
        </w:tc>
        <w:tc>
          <w:tcPr>
            <w:tcW w:w="1365" w:type="dxa"/>
            <w:tcBorders>
              <w:top w:val="nil"/>
              <w:left w:val="nil"/>
              <w:bottom w:val="nil"/>
              <w:right w:val="nil"/>
              <w:tl2br w:val="nil"/>
              <w:tr2bl w:val="nil"/>
            </w:tcBorders>
            <w:noWrap/>
            <w:vAlign w:val="center"/>
          </w:tcPr>
          <w:p>
            <w:pPr>
              <w:jc w:val="right"/>
            </w:pPr>
            <w:r>
              <w:rPr>
                <w:rFonts w:ascii="宋体" w:eastAsia="宋体"/>
                <w:sz w:val="18"/>
                <w:szCs w:val="18"/>
              </w:rPr>
              <w:t>单位：万元</w:t>
            </w:r>
          </w:p>
        </w:tc>
      </w:tr>
      <w:tr>
        <w:trPr>
          <w:trHeight w:val="312"/>
        </w:trPr>
        <w:tc>
          <w:tcPr>
            <w:tcW w:w="445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部门预算支出经济分类科目</w:t>
            </w:r>
          </w:p>
        </w:tc>
        <w:tc>
          <w:tcPr>
            <w:tcW w:w="432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本年一般公共预算基本支出</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科目代码</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科目名称</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合计</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人员经费</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16"/>
              </w:rPr>
            </w:pPr>
            <w:r>
              <w:rPr>
                <w:rFonts w:ascii="宋体" w:eastAsia="宋体" w:cs="宋体"/>
                <w:color w:val="000000"/>
                <w:sz w:val="16"/>
              </w:rPr>
              <w:t>公用经费</w:t>
            </w:r>
          </w:p>
        </w:tc>
      </w:tr>
      <w:tr>
        <w:trPr>
          <w:trHeight w:val="408"/>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工资福利支出</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22389.14</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22389.14</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基本工资</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6181.56</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6181.56</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津贴补贴</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7944.95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7944.95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奖金</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532.76</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532.76</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30107</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绩效工资</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325.56</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325.56</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30108</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机关事业单位基本养老保险缴费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1981.32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1981.32</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30109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职业年金缴费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1291.54</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1291.54</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30110</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职工基本医疗保险缴费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1028.82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1028.82</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30111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公务员医疗补助缴费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470.05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470.05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30112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其他社会保障缴费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17.96</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17.96</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30113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住房公积金</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2444.62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2444.62</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30199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其他工资福利支出</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170</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170</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408"/>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商品和服务支出</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6684.21</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6684.21</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办公费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278.73</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278.73</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印刷费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54.7</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54.7</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30204</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手续费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0.52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0.52</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30205</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水费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49.9</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49.9</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30206</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电费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384.5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384.5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30207</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邮电费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306.3</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306.3</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30209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物业管理费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735.38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735.38</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差旅费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495.75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495.75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维修（护）费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522.7</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522.7</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30214</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租赁费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33.59</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33.59</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30215</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会议费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30216</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培训费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93.22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93.22</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30217</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公务接待费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27.69</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27.69</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30218</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专用材料费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33</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30224</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被装购置费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7</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30226</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劳务费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181.5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181.5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30227</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委托业务费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235.52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235.52</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30228</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工会经费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511.36</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511.36</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30229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福利费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878.87</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878.87</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30231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公务用车运行维护费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179.8</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30239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其他交通费用</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1547.98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1547.98</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30240</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税金及附加费用</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30299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其他商品和服务支出</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122.2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122.2</w:t>
            </w:r>
          </w:p>
        </w:tc>
      </w:tr>
      <w:tr>
        <w:trPr>
          <w:trHeight w:val="408"/>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303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对个人和家庭的补助</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31.75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31.75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30301</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离休费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30302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退休费</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15.03</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15.03</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30309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奖励金</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0.72</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0.72</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408"/>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30399</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其他对个人和家庭的补助</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310</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b/>
                <w:i w:val="0"/>
                <w:color w:val="000000"/>
                <w:sz w:val="16"/>
              </w:rPr>
            </w:pPr>
            <w:r>
              <w:rPr>
                <w:rFonts w:ascii="宋体" w:eastAsia="宋体" w:cs="宋体"/>
                <w:b/>
                <w:i w:val="0"/>
                <w:color w:val="000000"/>
                <w:sz w:val="16"/>
              </w:rPr>
              <w:t>资本性支出</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194.28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b/>
                <w:i w:val="0"/>
                <w:color w:val="000000"/>
                <w:sz w:val="16"/>
                <w:szCs w:val="16"/>
              </w:rPr>
            </w:pPr>
            <w:r>
              <w:rPr>
                <w:rFonts w:ascii="Times New Roman" w:eastAsia="宋体" w:cs="Times New Roman" w:hAnsi="Times New Roman"/>
                <w:b/>
                <w:i w:val="0"/>
                <w:color w:val="000000"/>
                <w:sz w:val="16"/>
                <w:szCs w:val="16"/>
              </w:rPr>
              <w:t>194.28</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31002</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办公设备购置</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138.28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138.28</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31003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专用设备购置</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1</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31013</w:t>
            </w: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16"/>
              </w:rPr>
            </w:pPr>
            <w:r>
              <w:rPr>
                <w:rFonts w:ascii="宋体" w:eastAsia="宋体" w:cs="宋体"/>
                <w:color w:val="000000"/>
                <w:sz w:val="16"/>
              </w:rPr>
              <w:t>公务用车购置</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55</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color w:val="000000"/>
                <w:sz w:val="16"/>
                <w:szCs w:val="16"/>
              </w:rPr>
            </w:pPr>
            <w:r>
              <w:rPr>
                <w:rFonts w:ascii="Times New Roman" w:eastAsia="宋体" w:cs="Times New Roman" w:hAnsi="Times New Roman"/>
                <w:color w:val="000000"/>
                <w:sz w:val="16"/>
                <w:szCs w:val="16"/>
              </w:rPr>
              <w:t>55</w:t>
            </w:r>
          </w:p>
        </w:tc>
      </w:tr>
      <w:tr>
        <w:trPr>
          <w:trHeight w:val="312"/>
        </w:trPr>
        <w:tc>
          <w:tcPr>
            <w:tcW w:w="12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Times New Roman" w:eastAsia="����" w:cs="Times New Roman" w:hAnsi="Times New Roman"/>
                <w:sz w:val="16"/>
                <w:szCs w:val="16"/>
              </w:rPr>
            </w:pPr>
          </w:p>
        </w:tc>
        <w:tc>
          <w:tcPr>
            <w:tcW w:w="32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 w:eastAsia="����" w:cs="宋体" w:hAnsi="����"/>
                <w:b/>
                <w:i w:val="0"/>
                <w:sz w:val="16"/>
              </w:rPr>
            </w:pPr>
            <w:r>
              <w:rPr>
                <w:rFonts w:ascii="����" w:eastAsia="����" w:cs="宋体" w:hAnsi="����"/>
                <w:b/>
                <w:i w:val="0"/>
                <w:sz w:val="16"/>
              </w:rPr>
              <w:t>合        计</w:t>
            </w:r>
          </w:p>
        </w:tc>
        <w:tc>
          <w:tcPr>
            <w:tcW w:w="141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 w:cs="Times New Roman" w:hAnsi="Times New Roman"/>
                <w:b/>
                <w:i w:val="0"/>
                <w:sz w:val="16"/>
                <w:szCs w:val="16"/>
              </w:rPr>
            </w:pPr>
            <w:r>
              <w:rPr>
                <w:rFonts w:ascii="Times New Roman" w:eastAsia="����" w:cs="Times New Roman" w:hAnsi="Times New Roman"/>
                <w:b/>
                <w:i w:val="0"/>
                <w:sz w:val="16"/>
                <w:szCs w:val="16"/>
              </w:rPr>
              <w:t>29299.38</w:t>
            </w:r>
          </w:p>
        </w:tc>
        <w:tc>
          <w:tcPr>
            <w:tcW w:w="153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 w:cs="Times New Roman" w:hAnsi="Times New Roman"/>
                <w:b/>
                <w:i w:val="0"/>
                <w:sz w:val="16"/>
                <w:szCs w:val="16"/>
              </w:rPr>
            </w:pPr>
            <w:r>
              <w:rPr>
                <w:rFonts w:ascii="Times New Roman" w:eastAsia="����" w:cs="Times New Roman" w:hAnsi="Times New Roman"/>
                <w:b/>
                <w:i w:val="0"/>
                <w:sz w:val="16"/>
                <w:szCs w:val="16"/>
              </w:rPr>
              <w:t>22420.89</w:t>
            </w:r>
          </w:p>
        </w:tc>
        <w:tc>
          <w:tcPr>
            <w:tcW w:w="13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 w:cs="Times New Roman" w:hAnsi="Times New Roman"/>
                <w:b/>
                <w:i w:val="0"/>
                <w:sz w:val="16"/>
                <w:szCs w:val="16"/>
              </w:rPr>
            </w:pPr>
            <w:r>
              <w:rPr>
                <w:rFonts w:ascii="Times New Roman" w:eastAsia="����" w:cs="Times New Roman" w:hAnsi="Times New Roman"/>
                <w:b/>
                <w:i w:val="0"/>
                <w:sz w:val="16"/>
                <w:szCs w:val="16"/>
              </w:rPr>
              <w:t>6878.49</w:t>
            </w:r>
          </w:p>
        </w:tc>
      </w:tr>
    </w:tbl>
    <w:p>
      <w:pPr>
        <w:jc w:val="center"/>
        <w:rPr>
          <w:rFonts w:ascii="Times New Roman" w:eastAsia="宋体" w:cs="宋体" w:hAnsi="Times New Roman"/>
          <w:kern w:val="0"/>
          <w:sz w:val="24"/>
          <w:szCs w:val="24"/>
        </w:rPr>
        <w:sectPr>
          <w:type w:val="continuous"/>
          <w:pgSz w:w="11906" w:h="16838"/>
          <w:pgMar w:top="1800" w:right="1440" w:bottom="1800" w:left="1440" w:header="851" w:footer="992" w:gutter="0"/>
          <w:pgNumType/>
          <w:docGrid w:type="lines" w:linePitch="312" w:charSpace="0"/>
        </w:sectPr>
      </w:pPr>
      <w:r>
        <w:rPr>
          <w:rFonts w:ascii="Times New Roman" w:eastAsia="宋体" w:cs="宋体" w:hAnsi="Times New Roman"/>
          <w:kern w:val="0"/>
          <w:sz w:val="24"/>
          <w:szCs w:val="24"/>
        </w:rPr>
        <w:br w:type="page"/>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eastAsia="宋体"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eastAsia="宋体"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单位</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202</w:t>
            </w:r>
            <w:r>
              <w:rPr>
                <w:rFonts w:ascii="Times New Roman" w:eastAsia="宋体" w:cs="宋体" w:hAnsi="Times New Roman"/>
                <w:kern w:val="0"/>
                <w:sz w:val="20"/>
                <w:szCs w:val="20"/>
              </w:rPr>
              <w:t>5</w:t>
            </w:r>
            <w:r>
              <w:rPr>
                <w:rFonts w:ascii="Times New Roman" w:eastAsia="宋体"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r>
    </w:tbl>
    <w:p>
      <w:pPr>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：成都海关</w:t>
      </w:r>
      <w:r>
        <w:rPr>
          <w:rFonts w:ascii="方正仿宋_GBK" w:eastAsia="方正仿宋_GBK" w:cs="方正仿宋_GBK" w:hint="eastAsia"/>
          <w:spacing w:val="-1"/>
          <w:sz w:val="24"/>
          <w:szCs w:val="24"/>
        </w:rPr>
        <w:t>无</w:t>
      </w:r>
      <w:r>
        <w:rPr>
          <w:rFonts w:ascii="Times New Roman" w:eastAsia="方正仿宋_GBK" w:cs="方正仿宋_GBK" w:hAnsi="Times New Roman" w:hint="eastAsia"/>
          <w:spacing w:val="-1"/>
          <w:sz w:val="24"/>
          <w:szCs w:val="24"/>
        </w:rPr>
        <w:t>2025年</w:t>
      </w:r>
      <w:r>
        <w:rPr>
          <w:rFonts w:ascii="方正仿宋_GBK" w:eastAsia="方正仿宋_GBK" w:cs="方正仿宋_GBK" w:hint="eastAsia"/>
          <w:spacing w:val="-1"/>
          <w:sz w:val="24"/>
          <w:szCs w:val="24"/>
        </w:rPr>
        <w:t>政府性基金本年预算拨款收入，也无使用政府性基金</w:t>
      </w:r>
      <w:r>
        <w:rPr>
          <w:rFonts w:ascii="方正仿宋_GBK" w:eastAsia="方正仿宋_GBK" w:cs="方正仿宋_GBK"/>
          <w:spacing w:val="-1"/>
          <w:sz w:val="24"/>
          <w:szCs w:val="24"/>
        </w:rPr>
        <w:t>本年预算</w:t>
      </w:r>
      <w:r>
        <w:rPr>
          <w:rFonts w:ascii="方正仿宋_GBK" w:eastAsia="方正仿宋_GBK" w:cs="方正仿宋_GBK" w:hint="eastAsia"/>
          <w:spacing w:val="-1"/>
          <w:sz w:val="24"/>
          <w:szCs w:val="24"/>
        </w:rPr>
        <w:t>安排的支出，故本表无数据。</w:t>
      </w:r>
    </w:p>
    <w:p>
      <w:pPr>
        <w:jc w:val="center"/>
        <w:rPr>
          <w:rFonts w:ascii="Times New Roman" w:eastAsia="方正仿宋_GBK" w:hAnsi="Times New Roman"/>
          <w:sz w:val="32"/>
          <w:szCs w:val="32"/>
        </w:rPr>
      </w:pPr>
    </w:p>
    <w:p>
      <w:pPr>
        <w:keepNext w:val="0"/>
        <w:widowControl w:val="0"/>
        <w:jc w:val="center"/>
        <w:rPr>
          <w:rFonts w:ascii="Times New Roman" w:eastAsia="方正仿宋_GBK" w:hAnsi="Times New Roman"/>
          <w:sz w:val="32"/>
          <w:szCs w:val="32"/>
        </w:rPr>
      </w:pPr>
      <w:r>
        <w:rPr>
          <w:rFonts w:ascii="Times New Roman" w:eastAsia="方正仿宋_GBK" w:hAnsi="Times New Roman"/>
          <w:sz w:val="32"/>
          <w:szCs w:val="32"/>
        </w:rPr>
        <w:br w:type="page"/>
      </w: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eastAsia="宋体"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eastAsia="宋体" w:cs="宋体" w:hAnsi="Times New Roman"/>
                <w:kern w:val="0"/>
                <w:sz w:val="36"/>
                <w:szCs w:val="36"/>
              </w:rPr>
            </w:pPr>
            <w:r>
              <w:rPr>
                <w:rFonts w:ascii="Times New Roman" w:eastAsia="宋体"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eastAsia="宋体" w:cs="宋体" w:hAnsi="Times New Roman"/>
                <w:color w:val="000000"/>
                <w:kern w:val="0"/>
                <w:sz w:val="22"/>
              </w:rPr>
            </w:pPr>
            <w:r>
              <w:rPr>
                <w:rFonts w:ascii="Times New Roman" w:eastAsia="宋体"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202</w:t>
            </w:r>
            <w:r>
              <w:rPr>
                <w:rFonts w:ascii="Times New Roman" w:eastAsia="宋体" w:cs="宋体" w:hAnsi="Times New Roman"/>
                <w:color w:val="000000"/>
                <w:kern w:val="0"/>
                <w:sz w:val="20"/>
                <w:szCs w:val="20"/>
              </w:rPr>
              <w:t>5</w:t>
            </w:r>
            <w:r>
              <w:rPr>
                <w:rFonts w:ascii="Times New Roman" w:eastAsia="宋体"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　</w:t>
            </w:r>
          </w:p>
        </w:tc>
      </w:tr>
    </w:tbl>
    <w:p>
      <w:pPr>
        <w:rPr>
          <w:rFonts w:ascii="Times New Roman" w:eastAsia="方正仿宋_GBK" w:cs="Times New Roman" w:hAnsi="Times New Roman" w:hint="eastAsia"/>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：成都海关无2025年</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w:t>
      </w:r>
      <w:r>
        <w:rPr>
          <w:rFonts w:ascii="Times New Roman" w:eastAsia="方正仿宋_GBK" w:cs="Times New Roman" w:hAnsi="Times New Roman"/>
          <w:sz w:val="24"/>
          <w:szCs w:val="24"/>
        </w:rPr>
        <w:t>使用</w:t>
      </w:r>
      <w:r>
        <w:rPr>
          <w:rFonts w:ascii="Times New Roman" w:eastAsia="方正仿宋_GBK" w:cs="Times New Roman" w:hAnsi="Times New Roman" w:hint="eastAsia"/>
          <w:sz w:val="24"/>
          <w:szCs w:val="24"/>
        </w:rPr>
        <w:t>国有资本经营预算安排的支出，故本表无数据。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left"/>
        <w:tblW w:w="1398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854"/>
        <w:gridCol w:w="2854"/>
        <w:gridCol w:w="1346"/>
        <w:gridCol w:w="2528"/>
        <w:gridCol w:w="2528"/>
        <w:gridCol w:w="1877"/>
      </w:tblGrid>
      <w:tr>
        <w:trPr>
          <w:trHeight w:val="706"/>
        </w:trPr>
        <w:tc>
          <w:tcPr>
            <w:tcW w:w="285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85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46"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528"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528"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877" w:type="dxa"/>
            <w:tcBorders>
              <w:top w:val="nil"/>
              <w:left w:val="nil"/>
              <w:bottom w:val="nil"/>
              <w:right w:val="nil"/>
              <w:tl2br w:val="nil"/>
              <w:tr2bl w:val="nil"/>
            </w:tcBorders>
            <w:noWrap/>
            <w:vAlign w:val="center"/>
          </w:tcPr>
          <w:p>
            <w:pPr>
              <w:jc w:val="right"/>
              <w:rPr>
                <w:rFonts w:ascii="黑体" w:eastAsia="黑体" w:cs="宋体" w:hint="eastAsia"/>
                <w:color w:val="000000"/>
                <w:sz w:val="20"/>
                <w:szCs w:val="20"/>
              </w:rPr>
            </w:pPr>
            <w:r>
              <w:rPr>
                <w:rFonts w:ascii="黑体" w:eastAsia="黑体" w:cs="宋体" w:hint="eastAsia"/>
                <w:color w:val="000000"/>
                <w:sz w:val="20"/>
                <w:szCs w:val="20"/>
              </w:rPr>
              <w:t>部门公开表9</w:t>
            </w:r>
          </w:p>
        </w:tc>
      </w:tr>
      <w:tr>
        <w:trPr>
          <w:trHeight w:val="856"/>
        </w:trPr>
        <w:tc>
          <w:tcPr>
            <w:tcW w:w="13987" w:type="dxa"/>
            <w:gridSpan w:val="6"/>
            <w:tcBorders>
              <w:top w:val="nil"/>
              <w:left w:val="nil"/>
              <w:bottom w:val="nil"/>
              <w:right w:val="nil"/>
              <w:tl2br w:val="nil"/>
              <w:tr2bl w:val="nil"/>
            </w:tcBorders>
            <w:noWrap/>
            <w:vAlign w:val="center"/>
          </w:tcPr>
          <w:p>
            <w:pPr>
              <w:jc w:val="center"/>
              <w:rPr>
                <w:rFonts w:ascii="宋体" w:eastAsia="宋体" w:cs="宋体"/>
                <w:b/>
                <w:i w:val="0"/>
                <w:color w:val="000000"/>
                <w:sz w:val="48"/>
              </w:rPr>
            </w:pPr>
            <w:r>
              <w:rPr>
                <w:rFonts w:ascii="宋体" w:eastAsia="宋体" w:cs="宋体"/>
                <w:b/>
                <w:i w:val="0"/>
                <w:color w:val="000000"/>
                <w:sz w:val="48"/>
              </w:rPr>
              <w:t>财政拨款预算“三公”经费支出表</w:t>
            </w:r>
          </w:p>
        </w:tc>
      </w:tr>
      <w:tr>
        <w:trPr>
          <w:trHeight w:val="448"/>
        </w:trPr>
        <w:tc>
          <w:tcPr>
            <w:tcW w:w="12110" w:type="dxa"/>
            <w:gridSpan w:val="5"/>
            <w:tcBorders>
              <w:top w:val="nil"/>
              <w:left w:val="nil"/>
              <w:bottom w:val="nil"/>
              <w:right w:val="nil"/>
              <w:tl2br w:val="nil"/>
              <w:tr2bl w:val="nil"/>
            </w:tcBorders>
            <w:noWrap/>
            <w:vAlign w:val="center"/>
          </w:tcPr>
          <w:p>
            <w:pPr>
              <w:rPr>
                <w:rFonts w:ascii="宋体" w:eastAsia="宋体" w:cs="宋体"/>
                <w:color w:val="000000"/>
                <w:sz w:val="20"/>
              </w:rPr>
            </w:pPr>
          </w:p>
        </w:tc>
        <w:tc>
          <w:tcPr>
            <w:tcW w:w="1877" w:type="dxa"/>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单位：万元</w:t>
            </w:r>
          </w:p>
        </w:tc>
      </w:tr>
      <w:tr>
        <w:trPr>
          <w:trHeight w:val="579"/>
        </w:trPr>
        <w:tc>
          <w:tcPr>
            <w:tcW w:w="13987"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2025年预算数</w:t>
            </w:r>
          </w:p>
        </w:tc>
      </w:tr>
      <w:tr>
        <w:trPr>
          <w:trHeight w:val="475"/>
        </w:trPr>
        <w:tc>
          <w:tcPr>
            <w:tcW w:w="28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“三公”经费合计</w:t>
            </w:r>
          </w:p>
        </w:tc>
        <w:tc>
          <w:tcPr>
            <w:tcW w:w="28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因公出国（境）费</w:t>
            </w:r>
          </w:p>
        </w:tc>
        <w:tc>
          <w:tcPr>
            <w:tcW w:w="640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公务用车购置及运行费</w:t>
            </w:r>
          </w:p>
        </w:tc>
        <w:tc>
          <w:tcPr>
            <w:tcW w:w="1877"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公务接待费</w:t>
            </w:r>
          </w:p>
        </w:tc>
      </w:tr>
      <w:tr>
        <w:trPr>
          <w:trHeight w:val="587"/>
        </w:trPr>
        <w:tc>
          <w:tcPr>
            <w:tcW w:w="28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8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3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小计</w:t>
            </w:r>
          </w:p>
        </w:tc>
        <w:tc>
          <w:tcPr>
            <w:tcW w:w="25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公务用车购置费</w:t>
            </w:r>
          </w:p>
        </w:tc>
        <w:tc>
          <w:tcPr>
            <w:tcW w:w="25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4"/>
                <w:szCs w:val="24"/>
              </w:rPr>
            </w:pPr>
            <w:r>
              <w:rPr>
                <w:rFonts w:ascii="宋体" w:eastAsia="宋体" w:cs="宋体"/>
                <w:color w:val="000000"/>
                <w:sz w:val="24"/>
                <w:szCs w:val="24"/>
              </w:rPr>
              <w:t>公务用车运行费</w:t>
            </w:r>
          </w:p>
        </w:tc>
        <w:tc>
          <w:tcPr>
            <w:tcW w:w="1877"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437"/>
        </w:trPr>
        <w:tc>
          <w:tcPr>
            <w:tcW w:w="28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766.15</w:t>
            </w:r>
          </w:p>
        </w:tc>
        <w:tc>
          <w:tcPr>
            <w:tcW w:w="28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10</w:t>
            </w:r>
          </w:p>
        </w:tc>
        <w:tc>
          <w:tcPr>
            <w:tcW w:w="134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728.46</w:t>
            </w:r>
          </w:p>
        </w:tc>
        <w:tc>
          <w:tcPr>
            <w:tcW w:w="25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311.80</w:t>
            </w:r>
          </w:p>
        </w:tc>
        <w:tc>
          <w:tcPr>
            <w:tcW w:w="25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416.66</w:t>
            </w:r>
          </w:p>
        </w:tc>
        <w:tc>
          <w:tcPr>
            <w:tcW w:w="187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Times New Roman" w:eastAsia="宋体" w:cs="Times New Roman" w:hAnsi="Times New Roman"/>
                <w:i w:val="0"/>
                <w:sz w:val="20"/>
                <w:szCs w:val="20"/>
              </w:rPr>
            </w:pPr>
            <w:r>
              <w:rPr>
                <w:rFonts w:ascii="Times New Roman" w:eastAsia="宋体" w:cs="Times New Roman" w:hAnsi="Times New Roman"/>
                <w:i w:val="0"/>
                <w:sz w:val="20"/>
                <w:szCs w:val="20"/>
              </w:rPr>
              <w:t>27.69</w:t>
            </w:r>
          </w:p>
        </w:tc>
      </w:tr>
    </w:tbl>
    <w:p>
      <w:pPr>
        <w:rPr>
          <w:rFonts w:ascii="Times New Roman" w:eastAsia="方正仿宋_GBK" w:hAnsi="Times New Roman"/>
          <w:sz w:val="32"/>
          <w:szCs w:val="32"/>
        </w:rPr>
        <w:sectPr>
          <w:type w:val="continuous"/>
          <w:pgSz w:w="16838" w:h="11906" w:orient="landscape"/>
          <w:pgMar w:top="1800" w:right="1440" w:bottom="1800" w:left="1440" w:header="851" w:footer="992" w:gutter="0"/>
          <w:pgNumType/>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hint="eastAsia"/>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b/>
          <w:sz w:val="80"/>
          <w:szCs w:val="80"/>
        </w:rPr>
        <w:t>成都</w:t>
      </w:r>
      <w:r>
        <w:rPr>
          <w:rFonts w:ascii="Times New Roman" w:hAnsi="Times New Roman" w:hint="eastAsia"/>
          <w:b/>
          <w:sz w:val="80"/>
          <w:szCs w:val="80"/>
        </w:rPr>
        <w:t>海关</w:t>
      </w:r>
      <w:r>
        <w:rPr>
          <w:rFonts w:ascii="Times New Roman" w:hAnsi="Times New Roman"/>
          <w:b/>
          <w:sz w:val="80"/>
          <w:szCs w:val="80"/>
        </w:rPr>
        <w:t>2025</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jc w:val="center"/>
        <w:rPr>
          <w:rFonts w:ascii="Times New Roman" w:hAnsi="Times New Roman"/>
          <w:b/>
          <w:sz w:val="80"/>
          <w:szCs w:val="80"/>
        </w:rPr>
      </w:pP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pgNumType/>
          <w:docGrid w:type="lines" w:linePitch="312" w:charSpace="0"/>
        </w:sectPr>
      </w:pPr>
      <w:r>
        <w:rPr>
          <w:rFonts w:ascii="Times New Roman" w:hAnsi="Times New Roman"/>
          <w:b/>
          <w:sz w:val="84"/>
          <w:szCs w:val="84"/>
        </w:rPr>
        <w:t xml:space="preserve"> </w:t>
      </w:r>
    </w:p>
    <w:p>
      <w:pPr>
        <w:pStyle w:val="18"/>
        <w:overflowPunct w:val="0"/>
        <w:adjustRightInd w:val="0"/>
        <w:snapToGrid w:val="0"/>
        <w:spacing w:line="560" w:lineRule="exact"/>
        <w:ind w:firstLineChars="200" w:firstLine="640"/>
        <w:rPr>
          <w:rFonts w:eastAsia="方正仿宋_GBK"/>
          <w:sz w:val="32"/>
          <w:szCs w:val="32"/>
        </w:rPr>
      </w:pPr>
      <w:r>
        <w:rPr>
          <w:rFonts w:eastAsia="方正黑体_GBK"/>
          <w:sz w:val="32"/>
          <w:szCs w:val="32"/>
        </w:rPr>
        <w:t>一、关于成都海关2025年收支预算情况的总体说明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按照综合预算的原则，成都海关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Style w:val="0"/>
          <w:rFonts w:ascii="Times New Roman" w:eastAsia="方正仿宋_GBK" w:cs="Times New Roman" w:hAnsi="Times New Roman"/>
          <w:sz w:val="32"/>
          <w:szCs w:val="32"/>
        </w:rPr>
        <w:t>和其他支出</w:t>
      </w:r>
      <w:r>
        <w:rPr>
          <w:rStyle w:val="0"/>
          <w:rFonts w:ascii="Times New Roman" w:eastAsia="方正仿宋_GBK" w:cs="Times New Roman" w:hAnsi="Times New Roman" w:hint="eastAsia"/>
          <w:sz w:val="32"/>
          <w:szCs w:val="32"/>
        </w:rPr>
        <w:t>。成都海关202</w:t>
      </w:r>
      <w:r>
        <w:rPr>
          <w:rStyle w:val="0"/>
          <w:rFonts w:ascii="Times New Roman" w:eastAsia="方正仿宋_GBK" w:cs="Times New Roman" w:hAnsi="Times New Roman"/>
          <w:sz w:val="32"/>
          <w:szCs w:val="32"/>
        </w:rPr>
        <w:t>5</w:t>
      </w:r>
      <w:r>
        <w:rPr>
          <w:rStyle w:val="0"/>
          <w:rFonts w:ascii="Times New Roman" w:eastAsia="方正仿宋_GBK" w:cs="Times New Roman" w:hAnsi="Times New Roman" w:hint="eastAsia"/>
          <w:sz w:val="32"/>
          <w:szCs w:val="32"/>
        </w:rPr>
        <w:t>年收支总预算</w:t>
      </w:r>
      <w:r>
        <w:rPr>
          <w:rStyle w:val="0"/>
          <w:rFonts w:ascii="Times New Roman" w:eastAsia="方正仿宋_GBK" w:cs="Times New Roman" w:hAnsi="Times New Roman"/>
          <w:sz w:val="32"/>
          <w:szCs w:val="32"/>
        </w:rPr>
        <w:t>80221.80</w:t>
      </w:r>
      <w:r>
        <w:rPr>
          <w:rStyle w:val="0"/>
          <w:rFonts w:ascii="Times New Roman" w:eastAsia="方正仿宋_GBK" w:cs="Times New Roman" w:hAnsi="Times New Roman" w:hint="eastAsia"/>
          <w:sz w:val="32"/>
          <w:szCs w:val="32"/>
        </w:rPr>
        <w:t>万元。</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sz w:val="32"/>
          <w:szCs w:val="32"/>
        </w:rPr>
        <w:t>二、关于成都海关2025年收入预算情况说明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drawing>
          <wp:anchor distT="0" distB="0" distL="68578" distR="68578" simplePos="0" relativeHeight="16" behindDoc="0" locked="0" layoutInCell="1" hidden="0" allowOverlap="1">
            <wp:simplePos x="0" y="0"/>
            <wp:positionH relativeFrom="column">
              <wp:posOffset>535938</wp:posOffset>
            </wp:positionH>
            <wp:positionV relativeFrom="paragraph">
              <wp:posOffset>1708766</wp:posOffset>
            </wp:positionV>
            <wp:extent cx="4303655" cy="2578755"/>
            <wp:effectExtent l="0" t="0" r="0" b="0"/>
            <wp:wrapNone/>
            <wp:docPr id="7" name="图片"/>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4303655" cy="2578755"/>
                    </a:xfrm>
                    <a:prstGeom prst="rect"/>
                    <a:noFill/>
                    <a:ln w="9525" cmpd="sng" cap="flat">
                      <a:noFill/>
                      <a:prstDash val="solid"/>
                      <a:miter/>
                    </a:ln>
                  </pic:spPr>
                </pic:pic>
              </a:graphicData>
            </a:graphic>
          </wp:anchor>
        </w:drawing>
      </w:r>
      <w:r>
        <w:rPr>
          <w:rStyle w:val="0"/>
          <w:rFonts w:ascii="Times New Roman" w:eastAsia="方正仿宋_GBK" w:cs="Times New Roman" w:hAnsi="Times New Roman" w:hint="eastAsia"/>
          <w:sz w:val="32"/>
          <w:szCs w:val="32"/>
        </w:rPr>
        <w:t>成都海关2025年收入预算80221.80万元，其中：上年结转12931.56万元，占16.12%；一般公共预算财政拨款收入36445.51万元，占45.43%；事业收入9986万元，占12.45%；其他收入20208.73万元，占25.19%；使用非财政拨款结余650万元，占0.81%。</w:t>
      </w: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spacing w:line="560" w:lineRule="exact"/>
        <w:ind w:left="0" w:firstLineChars="200" w:firstLine="640"/>
        <w:rPr>
          <w:rFonts w:eastAsia="方正仿宋_GBK"/>
          <w:sz w:val="32"/>
          <w:szCs w:val="32"/>
        </w:rPr>
      </w:pP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成都</w:t>
      </w:r>
      <w:r>
        <w:rPr>
          <w:rFonts w:eastAsia="方正黑体_GBK" w:hint="eastAsia"/>
          <w:sz w:val="32"/>
          <w:szCs w:val="32"/>
        </w:rPr>
        <w:t>海关</w:t>
      </w:r>
      <w:r>
        <w:rPr>
          <w:rFonts w:eastAsia="方正黑体_GBK"/>
          <w:sz w:val="32"/>
          <w:szCs w:val="32"/>
        </w:rPr>
        <w:t>2025</w:t>
      </w:r>
      <w:r>
        <w:rPr>
          <w:rFonts w:eastAsia="方正黑体_GBK" w:hint="eastAsia"/>
          <w:sz w:val="32"/>
          <w:szCs w:val="32"/>
        </w:rPr>
        <w:t>年支出预算情况说明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成都海关2025年支出预算80221.80万元，其中：基本支出</w:t>
      </w:r>
      <w:r>
        <w:rPr>
          <w:rStyle w:val="0"/>
          <w:rFonts w:ascii="Times New Roman" w:eastAsia="方正仿宋_GBK" w:cs="Times New Roman" w:hAnsi="Times New Roman" w:hint="eastAsia"/>
          <w:sz w:val="32"/>
          <w:szCs w:val="32"/>
          <w:lang w:val="en-US" w:eastAsia="zh-CN"/>
        </w:rPr>
        <w:t>71905.39</w:t>
      </w:r>
      <w:r>
        <w:rPr>
          <w:rStyle w:val="0"/>
          <w:rFonts w:ascii="Times New Roman" w:eastAsia="方正仿宋_GBK" w:cs="Times New Roman" w:hAnsi="Times New Roman" w:hint="eastAsia"/>
          <w:sz w:val="32"/>
          <w:szCs w:val="32"/>
        </w:rPr>
        <w:t>万元，占</w:t>
      </w:r>
      <w:r>
        <w:rPr>
          <w:rStyle w:val="0"/>
          <w:rFonts w:ascii="Times New Roman" w:eastAsia="方正仿宋_GBK" w:cs="Times New Roman" w:hAnsi="Times New Roman" w:hint="eastAsia"/>
          <w:sz w:val="32"/>
          <w:szCs w:val="32"/>
          <w:lang w:val="en-US" w:eastAsia="zh-CN"/>
        </w:rPr>
        <w:t>89.63</w:t>
      </w:r>
      <w:r>
        <w:rPr>
          <w:rStyle w:val="0"/>
          <w:rFonts w:ascii="Times New Roman" w:eastAsia="方正仿宋_GBK" w:cs="Times New Roman" w:hAnsi="Times New Roman" w:hint="eastAsia"/>
          <w:sz w:val="32"/>
          <w:szCs w:val="32"/>
        </w:rPr>
        <w:t>%；项目支出</w:t>
      </w:r>
      <w:r>
        <w:rPr>
          <w:rStyle w:val="0"/>
          <w:rFonts w:ascii="Times New Roman" w:eastAsia="方正仿宋_GBK" w:cs="Times New Roman" w:hAnsi="Times New Roman" w:hint="eastAsia"/>
          <w:sz w:val="32"/>
          <w:szCs w:val="32"/>
          <w:lang w:val="en-US" w:eastAsia="zh-CN"/>
        </w:rPr>
        <w:t>8316.41</w:t>
      </w:r>
      <w:r>
        <w:rPr>
          <w:rStyle w:val="0"/>
          <w:rFonts w:ascii="Times New Roman" w:eastAsia="方正仿宋_GBK" w:cs="Times New Roman" w:hAnsi="Times New Roman" w:hint="eastAsia"/>
          <w:sz w:val="32"/>
          <w:szCs w:val="32"/>
        </w:rPr>
        <w:t>万元，占</w:t>
      </w:r>
      <w:r>
        <w:rPr>
          <w:rStyle w:val="0"/>
          <w:rFonts w:ascii="Times New Roman" w:eastAsia="方正仿宋_GBK" w:cs="Times New Roman" w:hAnsi="Times New Roman" w:hint="eastAsia"/>
          <w:sz w:val="32"/>
          <w:szCs w:val="32"/>
          <w:lang w:val="en-US" w:eastAsia="zh-CN"/>
        </w:rPr>
        <w:t>10.37</w:t>
      </w:r>
      <w:r>
        <w:rPr>
          <w:rStyle w:val="0"/>
          <w:rFonts w:ascii="Times New Roman" w:eastAsia="方正仿宋_GBK" w:cs="Times New Roman" w:hAnsi="Times New Roman" w:hint="eastAsia"/>
          <w:sz w:val="32"/>
          <w:szCs w:val="32"/>
        </w:rPr>
        <w:t>%。</w:t>
      </w:r>
    </w:p>
    <w:p>
      <w:pPr>
        <w:pStyle w:val="18"/>
        <w:spacing w:line="560" w:lineRule="exact"/>
        <w:ind w:firstLineChars="200" w:firstLine="640"/>
        <w:jc w:val="center"/>
        <w:rPr>
          <w:rFonts w:eastAsia="方正仿宋_GBK"/>
          <w:sz w:val="32"/>
          <w:szCs w:val="32"/>
        </w:rPr>
      </w:pPr>
      <w:r>
        <w:rPr>
          <w:rFonts w:eastAsia="方正仿宋_GBK"/>
          <w:sz w:val="32"/>
          <w:szCs w:val="32"/>
        </w:rPr>
        <w:drawing>
          <wp:anchor distT="0" distB="0" distL="68578" distR="68578" simplePos="0" relativeHeight="17" behindDoc="0" locked="0" layoutInCell="1" hidden="0" allowOverlap="1">
            <wp:simplePos x="0" y="0"/>
            <wp:positionH relativeFrom="column">
              <wp:posOffset>802339</wp:posOffset>
            </wp:positionH>
            <wp:positionV relativeFrom="paragraph">
              <wp:posOffset>-2074</wp:posOffset>
            </wp:positionV>
            <wp:extent cx="3864900" cy="2157500"/>
            <wp:effectExtent l="0" t="0" r="0" b="0"/>
            <wp:wrapNone/>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3864900" cy="2157500"/>
                    </a:xfrm>
                    <a:prstGeom prst="rect"/>
                    <a:noFill/>
                    <a:ln w="9525" cmpd="sng" cap="flat">
                      <a:noFill/>
                      <a:prstDash val="solid"/>
                      <a:miter/>
                    </a:ln>
                  </pic:spPr>
                </pic:pic>
              </a:graphicData>
            </a:graphic>
          </wp:anchor>
        </w:drawing>
      </w:r>
    </w:p>
    <w:p>
      <w:pPr>
        <w:pStyle w:val="18"/>
        <w:spacing w:line="560" w:lineRule="exact"/>
        <w:rPr>
          <w:sz w:val="32"/>
          <w:szCs w:val="32"/>
        </w:rPr>
      </w:pPr>
    </w:p>
    <w:p>
      <w:pPr>
        <w:pStyle w:val="18"/>
        <w:spacing w:line="560" w:lineRule="exact"/>
        <w:rPr>
          <w:sz w:val="32"/>
          <w:szCs w:val="32"/>
        </w:rPr>
      </w:pPr>
    </w:p>
    <w:p>
      <w:pPr>
        <w:pStyle w:val="18"/>
        <w:spacing w:line="560" w:lineRule="exact"/>
        <w:jc w:val="center"/>
        <w:rPr>
          <w:sz w:val="32"/>
          <w:szCs w:val="32"/>
        </w:rPr>
      </w:pPr>
    </w:p>
    <w:p>
      <w:pPr>
        <w:pStyle w:val="18"/>
        <w:spacing w:line="560" w:lineRule="exact"/>
        <w:rPr>
          <w:sz w:val="32"/>
          <w:szCs w:val="32"/>
        </w:rPr>
      </w:pPr>
    </w:p>
    <w:p>
      <w:pPr>
        <w:pStyle w:val="18"/>
        <w:spacing w:line="560" w:lineRule="exact"/>
        <w:rPr>
          <w:sz w:val="32"/>
          <w:szCs w:val="32"/>
        </w:rPr>
      </w:pP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成都</w:t>
      </w:r>
      <w:r>
        <w:rPr>
          <w:rFonts w:eastAsia="方正黑体_GBK" w:hint="eastAsia"/>
          <w:sz w:val="32"/>
          <w:szCs w:val="32"/>
        </w:rPr>
        <w:t>海关202</w:t>
      </w:r>
      <w:r>
        <w:rPr>
          <w:rFonts w:eastAsia="方正黑体_GBK"/>
          <w:sz w:val="32"/>
          <w:szCs w:val="32"/>
        </w:rPr>
        <w:t>5</w:t>
      </w:r>
      <w:r>
        <w:rPr>
          <w:rFonts w:eastAsia="方正黑体_GBK" w:hint="eastAsia"/>
          <w:sz w:val="32"/>
          <w:szCs w:val="32"/>
        </w:rPr>
        <w:t>年财政拨款收支预算情况的总体说明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drawing>
          <wp:anchor distT="0" distB="0" distL="68578" distR="68578" simplePos="0" relativeHeight="18" behindDoc="0" locked="0" layoutInCell="1" hidden="0" allowOverlap="1">
            <wp:simplePos x="0" y="0"/>
            <wp:positionH relativeFrom="column">
              <wp:posOffset>269242</wp:posOffset>
            </wp:positionH>
            <wp:positionV relativeFrom="paragraph">
              <wp:posOffset>3197453</wp:posOffset>
            </wp:positionV>
            <wp:extent cx="4799962" cy="2799445"/>
            <wp:effectExtent l="0" t="0" r="0" b="0"/>
            <wp:wrapNone/>
            <wp:docPr id="13" name="图片"/>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4799962" cy="2799445"/>
                    </a:xfrm>
                    <a:prstGeom prst="rect"/>
                    <a:noFill/>
                    <a:ln w="9525" cmpd="sng" cap="flat">
                      <a:noFill/>
                      <a:prstDash val="solid"/>
                      <a:miter/>
                    </a:ln>
                  </pic:spPr>
                </pic:pic>
              </a:graphicData>
            </a:graphic>
          </wp:anchor>
        </w:drawing>
      </w:r>
      <w:r>
        <w:rPr>
          <w:rStyle w:val="0"/>
          <w:rFonts w:ascii="Times New Roman" w:eastAsia="方正仿宋_GBK" w:cs="Times New Roman" w:hAnsi="Times New Roman" w:hint="eastAsia"/>
          <w:sz w:val="32"/>
          <w:szCs w:val="32"/>
        </w:rPr>
        <w:t>成都海关2025年财政拨款收支总预算37615.97万元。其中</w:t>
      </w:r>
      <w:r>
        <w:rPr>
          <w:rStyle w:val="0"/>
          <w:rFonts w:ascii="Times New Roman" w:eastAsia="方正仿宋_GBK" w:cs="Times New Roman" w:hAnsi="Times New Roman"/>
          <w:sz w:val="32"/>
          <w:szCs w:val="32"/>
        </w:rPr>
        <w:t>，</w:t>
      </w:r>
      <w:r>
        <w:rPr>
          <w:rStyle w:val="0"/>
          <w:rFonts w:ascii="Times New Roman" w:eastAsia="方正仿宋_GBK" w:cs="Times New Roman" w:hAnsi="Times New Roman" w:hint="eastAsia"/>
          <w:sz w:val="32"/>
          <w:szCs w:val="32"/>
        </w:rPr>
        <w:t>收入包括：一般公共预算当年财政拨款收入36445.51万元、上年结转762.82万元；政府性基金预算上年结转407.64万元。支出包括：一般公共服务支出26075.46万元，占69.32%；公共安全支出2431.72万元，占6.46%；社会保障和就业支出3333.01万元，占8.86%；卫生健康支出1516.83万元，占4.03%；住房保障支出3851.31万元，占10.24%；其他支出407.64万元，占1.08%。</w:t>
      </w: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仿宋_GBK" w:hAnsi="Times New Roman"/>
          <w:sz w:val="32"/>
          <w:szCs w:val="32"/>
          <w:highlight w:val="yellow"/>
        </w:rPr>
      </w:pPr>
    </w:p>
    <w:p>
      <w:pPr>
        <w:spacing w:line="560" w:lineRule="exact"/>
        <w:ind w:firstLineChars="200" w:firstLine="640"/>
        <w:rPr>
          <w:rFonts w:ascii="Times New Roman" w:eastAsia="方正黑体_GBK" w:hAnsi="Times New Roman"/>
          <w:sz w:val="32"/>
          <w:szCs w:val="32"/>
        </w:rPr>
      </w:pPr>
    </w:p>
    <w:p>
      <w:pPr>
        <w:spacing w:line="560" w:lineRule="exact"/>
        <w:ind w:firstLineChars="200" w:firstLine="640"/>
        <w:rPr>
          <w:rFonts w:ascii="Times New Roman" w:eastAsia="方正黑体_GBK" w:hAnsi="Times New Roman"/>
          <w:sz w:val="32"/>
          <w:szCs w:val="32"/>
        </w:rPr>
      </w:pPr>
    </w:p>
    <w:p>
      <w:pPr>
        <w:overflowPunct w:val="0"/>
        <w:adjustRightInd w:val="0"/>
        <w:snapToGri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w:t>
      </w:r>
      <w:r>
        <w:rPr>
          <w:rFonts w:ascii="Times New Roman" w:eastAsia="方正黑体_GBK" w:hAnsi="Times New Roman" w:hint="eastAsia"/>
          <w:sz w:val="32"/>
          <w:szCs w:val="32"/>
        </w:rPr>
        <w:t>、关于</w:t>
      </w:r>
      <w:r>
        <w:rPr>
          <w:rFonts w:ascii="Times New Roman" w:eastAsia="方正黑体_GBK" w:hAnsi="Times New Roman"/>
          <w:sz w:val="32"/>
          <w:szCs w:val="32"/>
        </w:rPr>
        <w:t>成都</w:t>
      </w:r>
      <w:r>
        <w:rPr>
          <w:rFonts w:ascii="Times New Roman" w:eastAsia="方正黑体_GBK" w:hAnsi="Times New Roman" w:hint="eastAsia"/>
          <w:sz w:val="32"/>
          <w:szCs w:val="32"/>
        </w:rPr>
        <w:t>海关202</w:t>
      </w:r>
      <w:r>
        <w:rPr>
          <w:rFonts w:ascii="Times New Roman" w:eastAsia="方正黑体_GBK" w:hAnsi="Times New Roman"/>
          <w:sz w:val="32"/>
          <w:szCs w:val="32"/>
        </w:rPr>
        <w:t>5</w:t>
      </w:r>
      <w:r>
        <w:rPr>
          <w:rFonts w:ascii="Times New Roman" w:eastAsia="方正黑体_GBK" w:hAnsi="Times New Roman" w:hint="eastAsia"/>
          <w:sz w:val="32"/>
          <w:szCs w:val="32"/>
        </w:rPr>
        <w:t>年一般公共预算当年财政拨款情况说明</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一般公共预算当年财政拨款预算36445.51万元，比2024年执行数增加2136.49万元，增长6.23%。按照党中央、国务院关于过紧日子的有关要求，厉行节约办一切事业，严控一般性支出。同时坚持有保有压，优化支出结构，合理保障法检业务工作、智慧海关建设及运维、艰苦边远地区以及打击走私经费等重点支出需求，体现在有关支出科目中。</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drawing>
          <wp:anchor distT="0" distB="0" distL="68578" distR="68578" simplePos="0" relativeHeight="19" behindDoc="0" locked="0" layoutInCell="1" hidden="0" allowOverlap="1">
            <wp:simplePos x="0" y="0"/>
            <wp:positionH relativeFrom="column">
              <wp:posOffset>535938</wp:posOffset>
            </wp:positionH>
            <wp:positionV relativeFrom="paragraph">
              <wp:posOffset>2129535</wp:posOffset>
            </wp:positionV>
            <wp:extent cx="4353877" cy="2775204"/>
            <wp:effectExtent l="0" t="0" r="0" b="0"/>
            <wp:wrapNone/>
            <wp:docPr id="16" name="图片"/>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353877" cy="2775204"/>
                    </a:xfrm>
                    <a:prstGeom prst="rect"/>
                    <a:noFill/>
                    <a:ln w="9525" cmpd="sng" cap="flat">
                      <a:noFill/>
                      <a:prstDash val="solid"/>
                      <a:miter/>
                    </a:ln>
                  </pic:spPr>
                </pic:pic>
              </a:graphicData>
            </a:graphic>
          </wp:anchor>
        </w:drawing>
      </w:r>
      <w:r>
        <w:rPr>
          <w:rStyle w:val="0"/>
          <w:rFonts w:ascii="Times New Roman" w:eastAsia="方正仿宋_GBK" w:cs="Times New Roman" w:hAnsi="Times New Roman" w:hint="eastAsia"/>
          <w:sz w:val="32"/>
          <w:szCs w:val="32"/>
        </w:rPr>
        <w:t>2025年部门预算中，一般公共预算当年财政拨款用于以下方面：一般公共服务（类）支出25524.44万元，占70.03%；公共安全（类）支出2220.04万元，占6.09%；社会保障和就业（类）支出3332.89万元，占9.14%；卫生健康（类）支出1516.83万元，占4.16%；住房保障（类）支出3851.31万元，占10.57%。</w: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1．一般公共服务支出（类）海关事务（款）2025年预算25524.44万元（扣除中央基建投资，下同），比2024年执行数增加1992.58万元，增长8.47%，其中：</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（1）行政运行（项）2025年预算17552.19万元，与2024年执行数增加330.90万元，增长1.92%。</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（2）一般行政管理事务（项）2025年预算12万元，与2024年执行数相同。</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（3）机关服务（项）2025年预算332.27万元，比2024年执行数增加4.68万元，增长1.43%。</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（4）缉私办案（项）2025年预算138.09万元，比2024年执行数增加17.29万元，增长14.31%。</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（5）口岸管理（项）2025年预算56.20万元，与2024年执行数相同。</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（6）信息化建设（项）2025年预算651万元，比2024年执行数增加249万元，增长61.94%。主要是智慧海关建设与科技赋能保障专项支出增加。</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（7）海关关务（项）2025年预算3133.73万元，比2024年执行数增加222.31万元，增长7.64%。</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（8）关税征管（项）2025年预算15万元，与2024年执行数相同。</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（9）海关监管（项）2025年预算143.07万元，比2024年执行数减少62.72万元，降低30.48%。主要是海关监管业务支出减少。</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10）检验检疫（项）2025年预算2354.48万元，比2024年执行数增加1170.56万元，增长98.87%。主要是应对全球更加复杂严峻的疫情疫病形势，进一步防范进出口食品安全风险等方面检验检疫、鉴定、监测等相关业务支出增加。</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（11）事业运行（项）2025年预算1136.41万元，比2024年执行数增加60.56万元，增长5.63%。</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2．公共安全支出（类）缉私警察（款）2025年预算2220.04万元，比2024年执行数增加147.78万元，增长7.13%。</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3．社会保障和就业支出（类）行政事业单位养老支出（款）2025年预算3332.89万元，比2024年执行数增加323.55万元，增长10.75%。其中：</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（1）行政单位离退休（项）2025年预算60.03万元，比2024年执行数增加6.07万元，增长11.25%。</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（2）机关事业单位基本养老保险缴费支出（项）2025年预算1981.32万元，比2024年执行数增加59.07万元，增长3.07%。</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（3）机关事业单位职业年金缴费支出（项）2025年预算1291.54万元，比2024年执行数增加258.41万元，增长25.01%。</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4．卫生健康支出（类）行政事业单位医疗（款）2025年预算1516.83万元，比2024年执行数增加20.05万元，增长1.34%。其中：</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（1）行政单位医疗（项）2025年预算1028.82万元，比2024年执行数减少51.81万元，降低4.79%。</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（2）公务员医疗补助（项）2025年预算470.05万元，比2024年执行数增加72.03万元，增长18.10%。主要是公务员医疗补助缴费支出增加。</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（3）其他行政事业单位医疗支出（项）2025年预算17.96万元，比2024年执行数减少0.17万元，降低0.94%。</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5．住房保障支出（类）住房改革支出（款）2025年预算3851.31万元，比2024年执行数增加73.53万元，增长1.95%。其中：</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（1）住房公积金（项）2025年预算2444.62万元，比2024年执行数增加235.32万元，增长10.65%。</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（2）购房补贴（项）2025年预算1406.69万元，比2024年执行数减少161.79万元，降低10.32%。</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成都</w:t>
      </w:r>
      <w:r>
        <w:rPr>
          <w:rFonts w:eastAsia="方正黑体_GBK" w:hint="eastAsia"/>
          <w:sz w:val="32"/>
          <w:szCs w:val="32"/>
        </w:rPr>
        <w:t>海关202</w:t>
      </w:r>
      <w:r>
        <w:rPr>
          <w:rFonts w:eastAsia="方正黑体_GBK"/>
          <w:sz w:val="32"/>
          <w:szCs w:val="32"/>
        </w:rPr>
        <w:t>5</w:t>
      </w:r>
      <w:r>
        <w:rPr>
          <w:rFonts w:eastAsia="方正黑体_GBK" w:hint="eastAsia"/>
          <w:sz w:val="32"/>
          <w:szCs w:val="32"/>
        </w:rPr>
        <w:t>年一般公共预算基本支出情况说明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成都海关2025年一般公共预算基本支出29299.38万元，其中：</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人员经费22420.89万元，主要包括：基本工资、津贴补贴、奖金、绩效工资、机关事业单位基本养老保险缴费、职业年金缴费、职工基本医疗保险缴费、公务员医疗补助缴费、其他社会保障缴费、住房公积金、其他工资福利支出、离休费、退休费、奖励金、其他对个人和家庭的补助；</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日常公用经费6878.49万元，主要包括：办公费、印刷费、手续费、水费、电费、邮电费、物业管理费、差旅费、维修（护）费、租赁费、会议费、培训费、公务接待费、专用材料费、被装购置费、劳务费、委托业务费、工会经费、福利费、公务用车运行维护费、其他交通费用、税金及附加费用、其他商品和服务支出、办公设备购置、专用设备购置、公务用车购置。</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成都</w:t>
      </w:r>
      <w:r>
        <w:rPr>
          <w:rFonts w:eastAsia="方正黑体_GBK" w:hint="eastAsia"/>
          <w:sz w:val="32"/>
          <w:szCs w:val="32"/>
        </w:rPr>
        <w:t>海关202</w:t>
      </w:r>
      <w:r>
        <w:rPr>
          <w:rFonts w:eastAsia="方正黑体_GBK"/>
          <w:sz w:val="32"/>
          <w:szCs w:val="32"/>
        </w:rPr>
        <w:t>5</w:t>
      </w:r>
      <w:r>
        <w:rPr>
          <w:rFonts w:eastAsia="方正黑体_GBK" w:hint="eastAsia"/>
          <w:sz w:val="32"/>
          <w:szCs w:val="32"/>
        </w:rPr>
        <w:t>年“三公”经费预算情况说明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三公”经费预算数为766.15万元，比2024年预算数增加32.78万元。其中：因公出国（境）费10万元，比2024年预算数减少3.35万元，主要用于服务大国外交，加强国际交流合作方面的支出；公务用车购置费311.80万元，比2024年预算数增加108.80万元，主要用于行政单位更新公务用车13辆；公务用车运行费416.66万元，比2024年预算数减少71.21万元，主要用于存量公务用车的运行维护；公务接待费27.69万元，比2024年预算数减少1.46万元，主要用于公务接待方面的支出。</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成都</w:t>
      </w:r>
      <w:r>
        <w:rPr>
          <w:rFonts w:eastAsia="方正黑体_GBK" w:hint="eastAsia"/>
          <w:sz w:val="32"/>
          <w:szCs w:val="32"/>
        </w:rPr>
        <w:t>海关202</w:t>
      </w:r>
      <w:r>
        <w:rPr>
          <w:rFonts w:eastAsia="方正黑体_GBK"/>
          <w:sz w:val="32"/>
          <w:szCs w:val="32"/>
        </w:rPr>
        <w:t>5</w:t>
      </w:r>
      <w:r>
        <w:rPr>
          <w:rFonts w:eastAsia="方正黑体_GBK" w:hint="eastAsia"/>
          <w:sz w:val="32"/>
          <w:szCs w:val="32"/>
        </w:rPr>
        <w:t>年政府性基金预算收支情况说明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成都海关2025年政府性基金预算数为零，比2024年执行数减少4170万元，降低100%，主要是超长期特别国债安排的其他支出减少。</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成都</w:t>
      </w:r>
      <w:r>
        <w:rPr>
          <w:rFonts w:eastAsia="方正黑体_GBK" w:hint="eastAsia"/>
          <w:sz w:val="32"/>
          <w:szCs w:val="32"/>
        </w:rPr>
        <w:t>海关202</w:t>
      </w:r>
      <w:r>
        <w:rPr>
          <w:rFonts w:eastAsia="方正黑体_GBK"/>
          <w:sz w:val="32"/>
          <w:szCs w:val="32"/>
        </w:rPr>
        <w:t>5</w:t>
      </w:r>
      <w:r>
        <w:rPr>
          <w:rFonts w:eastAsia="方正黑体_GBK" w:hint="eastAsia"/>
          <w:sz w:val="32"/>
          <w:szCs w:val="32"/>
        </w:rPr>
        <w:t>年国有资本经营预算收支情况说明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成都海关2025年无国有资本经营预算收支。</w:t>
      </w:r>
    </w:p>
    <w:p>
      <w:pPr>
        <w:pStyle w:val="18"/>
        <w:overflowPunct w:val="0"/>
        <w:adjustRightInd w:val="0"/>
        <w:snapToGrid w:val="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2025年成都海关本级和18个隶属海关的机关运行经费财政拨款预算6528.35万元，较2024年执行数增加254.35万元，增长4.05%。</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2025年成都海关各单位政府采购预算总额8087.43万元，其中：政府采购货物预算4113.64万元、政府采购工程预算1080.43万元、政府采购服务预算2893.36万元。</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截至2024年7月31日，成都海关所属各预算单位共有车辆123辆，其中，机要通信用车8辆、应急保障用车12辆、执法执勤用车86辆、其他用车17辆，其他用车主要是离退休干部用车、事业单位业务用车等。单位价值100万元以上的设备67台（套）。</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2025年部门预算安排购置车辆16辆，其中，应急保障用车2辆、执法执勤用车11辆、其他用车3辆；租用土地0平方米；租用房屋0平方米；购置单位价值100万元以上的设备1台（套）。</w:t>
      </w:r>
    </w:p>
    <w:p>
      <w:pPr>
        <w:overflowPunct w:val="0"/>
        <w:adjustRightInd w:val="0"/>
        <w:snapToGrid w:val="0"/>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2025年对成都海关一般公共预算和政府性基金预算拨款项目全面实施绩效目标管理，涉及24个三级预算单位的一般公共预算拨款7908.77万元，一级项目14个，二级项目70个；政府性基金预算拨款407.64万元，一级项目1个，二级项目7个。根据以前年度绩效评价结果，优化缉私警察业务费等项目支出2025年预算安排，并进一步改进管理、完善政策。</w:t>
      </w:r>
    </w:p>
    <w:p>
      <w:pPr>
        <w:overflowPunct w:val="0"/>
        <w:adjustRightInd w:val="0"/>
        <w:snapToGrid w:val="0"/>
        <w:spacing w:line="560" w:lineRule="exact"/>
        <w:ind w:firstLineChars="200" w:firstLine="640"/>
        <w:rPr>
          <w:rStyle w:val="0"/>
          <w:rFonts w:ascii="Times New Roman" w:eastAsia="方正仿宋_GBK" w:cs="Times New Roman" w:hAnsi="Times New Roman" w:hint="eastAsia"/>
          <w:sz w:val="32"/>
          <w:szCs w:val="32"/>
        </w:rPr>
      </w:pPr>
      <w:r>
        <w:rPr>
          <w:rStyle w:val="0"/>
          <w:rFonts w:ascii="Times New Roman" w:eastAsia="方正仿宋_GBK" w:cs="Times New Roman" w:hAnsi="Times New Roman" w:hint="eastAsia"/>
          <w:sz w:val="32"/>
          <w:szCs w:val="32"/>
        </w:rPr>
        <w:t>成都海关在2025年度部门预算中反映海关关税征管业务费等53个二级项目绩效目标表详见“第五部分 附件”。</w:t>
      </w:r>
    </w:p>
    <w:p>
      <w:pPr>
        <w:spacing w:line="560" w:lineRule="exact"/>
        <w:ind w:firstLineChars="200" w:firstLine="640"/>
        <w:rPr>
          <w:rFonts w:ascii="Times New Roman" w:eastAsia="方正仿宋_GBK" w:hAnsi="Times New Roman"/>
          <w:sz w:val="32"/>
          <w:szCs w:val="32"/>
        </w:rPr>
      </w:pPr>
    </w:p>
    <w:p>
      <w:pPr>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r>
        <w:rPr>
          <w:rFonts w:ascii="Times New Roman" w:eastAsia="方正仿宋_GBK" w:hAnsi="Times New Roman" w:hint="eastAsia"/>
          <w:sz w:val="32"/>
          <w:szCs w:val="32"/>
        </w:rPr>
        <w:t xml:space="preserve">  </w:t>
      </w: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pgNumType/>
          <w:docGrid w:type="lines" w:linePitch="312" w:charSpace="0"/>
        </w:sectPr>
      </w:pP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关于完善在京中央和国家机关住房制度的若干意见</w:t>
      </w:r>
      <w:r>
        <w:rPr>
          <w:rFonts w:ascii="Times New Roman" w:eastAsia="方正仿宋_GBK" w:hAnsi="Times New Roman" w:hint="eastAsia"/>
          <w:sz w:val="32"/>
          <w:szCs w:val="32"/>
          <w:lang w:eastAsia="zh-CN"/>
        </w:rPr>
        <w:t>〉</w:t>
      </w:r>
      <w:r>
        <w:rPr>
          <w:rFonts w:ascii="Times New Roman" w:eastAsia="方正仿宋_GBK" w:hAnsi="Times New Roman" w:hint="eastAsia"/>
          <w:sz w:val="32"/>
          <w:szCs w:val="32"/>
        </w:rPr>
        <w:t>的通知》（厅字〔2005〕8号）规定的标准执行，京外中央单位按照所在地人民政府住房分配货币化改革的政策规定和标准执行。</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overflowPunct w:val="0"/>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center"/>
        <w:rPr>
          <w:rFonts w:ascii="Times New Roman" w:hAnsi="Times New Roman"/>
          <w:b/>
          <w:sz w:val="84"/>
          <w:szCs w:val="84"/>
        </w:rPr>
      </w:pPr>
      <w:r>
        <w:rPr>
          <w:rFonts w:ascii="Times New Roman" w:hAnsi="Times New Roman" w:hint="eastAsia"/>
          <w:b/>
          <w:sz w:val="84"/>
          <w:szCs w:val="84"/>
        </w:rPr>
        <w:t>第五部分</w:t>
      </w:r>
    </w:p>
    <w:p>
      <w:pPr>
        <w:jc w:val="center"/>
        <w:rPr>
          <w:rFonts w:ascii="Times New Roman" w:hAnsi="Times New Roman"/>
          <w:b/>
          <w:sz w:val="84"/>
          <w:szCs w:val="84"/>
        </w:rPr>
      </w:pPr>
      <w:r>
        <w:rPr>
          <w:rFonts w:ascii="Times New Roman" w:hAnsi="Times New Roman" w:hint="eastAsia"/>
          <w:b/>
          <w:sz w:val="84"/>
          <w:szCs w:val="84"/>
        </w:rPr>
        <w:t>附件</w:t>
      </w:r>
    </w:p>
    <w:p>
      <w:pPr>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995"/>
        <w:gridCol w:w="1856"/>
        <w:gridCol w:w="1187"/>
      </w:tblGrid>
      <w:tr>
        <w:trPr>
          <w:trHeight w:val="633"/>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缉私警察业务费项目绩效目标表</w:t>
            </w:r>
          </w:p>
        </w:tc>
      </w:tr>
      <w:tr>
        <w:trPr>
          <w:trHeight w:val="316"/>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6"/>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缉私警察业务费</w:t>
            </w:r>
          </w:p>
        </w:tc>
      </w:tr>
      <w:tr>
        <w:trPr>
          <w:trHeight w:val="62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41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519.00</w:t>
            </w:r>
          </w:p>
        </w:tc>
        <w:tc>
          <w:tcPr>
            <w:tcW w:w="118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37"/>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519.00</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453"/>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452"/>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single" w:sz="6" w:space="0" w:color="auto"/>
              <w:right w:val="single" w:sz="6" w:space="0" w:color="auto"/>
              <w:tl2br w:val="nil"/>
              <w:tr2bl w:val="nil"/>
            </w:tcBorders>
            <w:noWrap/>
            <w:vAlign w:val="center"/>
          </w:tcPr>
          <w:p/>
        </w:tc>
      </w:tr>
      <w:tr>
        <w:trPr>
          <w:trHeight w:val="1900"/>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目标1：保障关区缉私部门办案需要，确保打击走私业务工作正常开展；</w:t>
            </w:r>
          </w:p>
          <w:p>
            <w:pPr>
              <w:rPr>
                <w:rFonts w:ascii="宋体" w:eastAsia="宋体" w:cs="宋体"/>
                <w:sz w:val="22"/>
              </w:rPr>
            </w:pPr>
            <w:r>
              <w:rPr>
                <w:rFonts w:ascii="宋体" w:eastAsia="宋体" w:cs="宋体"/>
                <w:sz w:val="22"/>
              </w:rPr>
              <w:t>目标2：通过开展情报调研、搜集与分析等工作，为打击走私提供线索支撑，提高精准查私能力；</w:t>
            </w:r>
          </w:p>
          <w:p>
            <w:pPr>
              <w:rPr>
                <w:rFonts w:ascii="宋体" w:eastAsia="宋体" w:cs="宋体"/>
                <w:sz w:val="22"/>
              </w:rPr>
            </w:pPr>
            <w:r>
              <w:rPr>
                <w:rFonts w:ascii="宋体" w:eastAsia="宋体" w:cs="宋体"/>
                <w:sz w:val="22"/>
              </w:rPr>
              <w:t xml:space="preserve">目标3：做好禁毒及缉毒、缉私犬养护、业务技术用房和执法办案场所修缮及实验室运维等方面的工作，提高打击走私工作能力和水平。                    </w:t>
            </w:r>
          </w:p>
        </w:tc>
      </w:tr>
      <w:tr>
        <w:trPr>
          <w:trHeight w:val="633"/>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9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1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保障缉私警察人数</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≥87人</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3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保障缉私机构数量（个）</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≥11个</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66"/>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刑事案件立案数</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≥20件</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7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重要情报处置率（%）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6"/>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起诉成功率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3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海关缉私重点工作支撑率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3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各缉私业务部门满意度</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995"/>
        <w:gridCol w:w="1856"/>
        <w:gridCol w:w="1187"/>
      </w:tblGrid>
      <w:tr>
        <w:trPr>
          <w:trHeight w:val="63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企业管理及稽查专项项目绩效目标表</w:t>
            </w:r>
          </w:p>
        </w:tc>
      </w:tr>
      <w:tr>
        <w:trPr>
          <w:trHeight w:val="315"/>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企业管理及稽查专项</w:t>
            </w:r>
          </w:p>
        </w:tc>
      </w:tr>
      <w:tr>
        <w:trPr>
          <w:trHeight w:val="63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15"/>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54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452"/>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453"/>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91"/>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借助社会力量，引入中介机构，协助海关稽核查执法，弥补海关稽核查部门监管力量不足，增强海关监管透明度。</w:t>
            </w:r>
          </w:p>
        </w:tc>
      </w:tr>
      <w:tr>
        <w:trPr>
          <w:trHeight w:val="63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9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3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引入中介机构稽核查平均成本</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≤8万元/起</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3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引入中介机构协助核查作业次数</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稽核查作业查发数</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3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引入中介机构协助稽查投入产出比</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3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受训人员业务优秀率</w:t>
            </w:r>
          </w:p>
        </w:tc>
        <w:tc>
          <w:tcPr>
            <w:tcW w:w="185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≥70%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4"/>
        <w:gridCol w:w="2027"/>
        <w:gridCol w:w="1187"/>
      </w:tblGrid>
      <w:tr>
        <w:trPr>
          <w:trHeight w:val="60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海关综合业务管理专项项目绩效目标表</w:t>
            </w:r>
          </w:p>
        </w:tc>
      </w:tr>
      <w:tr>
        <w:trPr>
          <w:trHeight w:val="304"/>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海关综合业务管理专项</w:t>
            </w:r>
          </w:p>
        </w:tc>
      </w:tr>
      <w:tr>
        <w:trPr>
          <w:trHeight w:val="30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4"/>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4"/>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6"/>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目标1：保障各项业务统筹协调工作正常开展。</w:t>
            </w:r>
          </w:p>
          <w:p>
            <w:pPr>
              <w:rPr>
                <w:rFonts w:ascii="宋体" w:eastAsia="宋体" w:cs="宋体"/>
                <w:sz w:val="22"/>
              </w:rPr>
            </w:pPr>
            <w:r>
              <w:rPr>
                <w:rFonts w:ascii="宋体" w:eastAsia="宋体" w:cs="宋体"/>
                <w:sz w:val="22"/>
              </w:rPr>
              <w:t xml:space="preserve">目标2：推动海关技术规范制修订工作顺利开展。             </w:t>
            </w:r>
          </w:p>
        </w:tc>
      </w:tr>
      <w:tr>
        <w:trPr>
          <w:trHeight w:val="60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6"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开展技贸措施应对</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参与海关行业标准制（修）订</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≥2项</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知识产权海关保护宣传及培训</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9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完成年度应完成海关技术规范制修订项目的比例</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标准制修订按期完成率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≥70%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6"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提高企业技贸应对能力</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优</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995"/>
        <w:gridCol w:w="1857"/>
        <w:gridCol w:w="1187"/>
      </w:tblGrid>
      <w:tr>
        <w:trPr>
          <w:trHeight w:val="619"/>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81.60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81.60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2787"/>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标1：加强重点敏感商品检验监管，实现关区不出现系统性、区域性质量安全事故的目标。</w:t>
            </w:r>
          </w:p>
          <w:p>
            <w:pPr>
              <w:rPr>
                <w:rFonts w:ascii="宋体" w:eastAsia="宋体" w:cs="宋体"/>
                <w:sz w:val="22"/>
              </w:rPr>
            </w:pPr>
            <w:r>
              <w:rPr>
                <w:rFonts w:ascii="宋体" w:eastAsia="宋体" w:cs="宋体"/>
                <w:sz w:val="22"/>
              </w:rPr>
              <w:t>目标2：完善进出口危险品及其包装检验监管体系，实现关区进出口危险品及其包装质量安全风险总体可控的目标。</w:t>
            </w:r>
          </w:p>
          <w:p>
            <w:pPr>
              <w:rPr>
                <w:rFonts w:ascii="宋体" w:eastAsia="宋体" w:cs="宋体"/>
                <w:sz w:val="22"/>
              </w:rPr>
            </w:pPr>
            <w:r>
              <w:rPr>
                <w:rFonts w:ascii="宋体" w:eastAsia="宋体" w:cs="宋体"/>
                <w:sz w:val="22"/>
              </w:rPr>
              <w:t xml:space="preserve">目标3：加强打击出口假冒伪劣商品，实现维护四川出口商品企业切身利益的目的。 </w:t>
            </w:r>
          </w:p>
          <w:p>
            <w:pPr>
              <w:rPr>
                <w:rFonts w:ascii="宋体" w:eastAsia="宋体" w:cs="宋体"/>
                <w:sz w:val="22"/>
              </w:rPr>
            </w:pPr>
            <w:r>
              <w:rPr>
                <w:rFonts w:ascii="宋体" w:eastAsia="宋体" w:cs="宋体"/>
                <w:sz w:val="22"/>
              </w:rPr>
              <w:t>目标4：完善进出口商品质量安全风险监测制度，建立一级风险监测点，达到对关区进出口商品实施风险监测的目的。</w:t>
            </w:r>
          </w:p>
          <w:p>
            <w:pPr>
              <w:rPr>
                <w:rFonts w:ascii="宋体" w:eastAsia="宋体" w:cs="宋体"/>
                <w:sz w:val="22"/>
              </w:rPr>
            </w:pPr>
            <w:r>
              <w:rPr>
                <w:rFonts w:ascii="宋体" w:eastAsia="宋体" w:cs="宋体"/>
                <w:sz w:val="22"/>
              </w:rPr>
              <w:t>目标5：加强质量安全风险评估，达到强化风险管理技术支撑能力的效果。</w:t>
            </w:r>
          </w:p>
          <w:p>
            <w:pPr>
              <w:rPr>
                <w:rFonts w:ascii="宋体" w:eastAsia="宋体" w:cs="宋体"/>
                <w:sz w:val="22"/>
              </w:rPr>
            </w:pPr>
            <w:r>
              <w:rPr>
                <w:rFonts w:ascii="宋体" w:eastAsia="宋体" w:cs="宋体"/>
                <w:sz w:val="22"/>
              </w:rPr>
              <w:t>目标6：开展统一的风险预警，达到强化风险快速反应能力的效果。</w:t>
            </w:r>
          </w:p>
          <w:p>
            <w:pPr>
              <w:rPr>
                <w:rFonts w:ascii="宋体" w:eastAsia="宋体" w:cs="宋体"/>
                <w:sz w:val="22"/>
              </w:rPr>
            </w:pPr>
            <w:r>
              <w:rPr>
                <w:rFonts w:ascii="宋体" w:eastAsia="宋体" w:cs="宋体"/>
                <w:sz w:val="22"/>
              </w:rPr>
              <w:t>目标7：强化质量安全风险管理结果运用，达到严格落实企业质量主体责任的效果。</w:t>
            </w:r>
          </w:p>
        </w:tc>
      </w:tr>
      <w:tr>
        <w:trPr>
          <w:trHeight w:val="619"/>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9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开展商检业务培训</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≥17000批次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≥2000条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业务培训测试通过率</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92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经检验做出不准出口决定的出口商品批次数量</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92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因海关检验原因导致的进出口危化品重大质量安全事故次数</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154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9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因海关检验原因导致的进口消费类商品危害人民群众生命健康重大质量安全事故次数</w:t>
            </w:r>
          </w:p>
        </w:tc>
        <w:tc>
          <w:tcPr>
            <w:tcW w:w="185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90"/>
        <w:gridCol w:w="1962"/>
        <w:gridCol w:w="1187"/>
      </w:tblGrid>
      <w:tr>
        <w:trPr>
          <w:trHeight w:val="604"/>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海关关税征管业务费项目绩效目标表</w:t>
            </w:r>
          </w:p>
        </w:tc>
      </w:tr>
      <w:tr>
        <w:trPr>
          <w:trHeight w:val="302"/>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2"/>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海关关税征管业务费</w:t>
            </w:r>
          </w:p>
        </w:tc>
      </w:tr>
      <w:tr>
        <w:trPr>
          <w:trHeight w:val="302"/>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2"/>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2"/>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2"/>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2"/>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13"/>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优化综合治税体制机制，完成年度税收预算目标，力争补税0.03亿元；目标2：全面落实国家税收优惠政策，减免、减让税款8亿元，促进企业降本增效；目标3：严格执行关税及进口环节代征税、船舶吨税征收的法律法规，确保税款及时入库；目标4：加强征管条件建设，提高税收征管的智能化、科学化水平，促进税收征管效能提升。</w:t>
            </w:r>
          </w:p>
        </w:tc>
      </w:tr>
      <w:tr>
        <w:trPr>
          <w:trHeight w:val="604"/>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9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原产地证书签发数量</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≥2万份</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属地纳税企业数量</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≥4000家</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原产地证签证准确率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原产地证书审毕时间</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≤3工作日</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经济效益指标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审价补税</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≥1.5亿元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归类补税</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减免、减让税款</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≥8亿元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2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314"/>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31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14"/>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269.98</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4"/>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269.98</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4"/>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4"/>
        </w:trPr>
        <w:tc>
          <w:tcPr>
            <w:tcW w:w="174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84"/>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各类装备、设备的运维，提高海关监管工作效率，提升海关监管科技含量，提升海关装备设备现代化、科技化水平。通过采购服务、耗材、更新设备等方式，保障网络安全和各项信息化设备正常运行、系统及设备故障的快速响应和处置，提升我关科技应用运维管理水平，一定程度缓解人力资源矛盾。</w:t>
            </w:r>
          </w:p>
        </w:tc>
      </w:tr>
      <w:tr>
        <w:trPr>
          <w:trHeight w:val="62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运维场所个数</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运维系统（个）</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运维专用设备数量（台/套）</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≥500台/套</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信息系统可用率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运维场所可用率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耗材到货及时率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安全事故发生次数</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1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警务装备建设项目绩效目标表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警务装备建设</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30.06</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30.06</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5"/>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目标1：加大海关缉私部门指挥调度装备、通信装备等十大类装备的建设，推动海关缉私部门管理体制调整明确的“执行公安机关有关标准”落地实施；</w:t>
            </w:r>
          </w:p>
          <w:p>
            <w:pPr>
              <w:rPr>
                <w:rFonts w:ascii="宋体" w:eastAsia="宋体" w:cs="宋体"/>
                <w:sz w:val="22"/>
              </w:rPr>
            </w:pPr>
            <w:r>
              <w:rPr>
                <w:rFonts w:ascii="宋体" w:eastAsia="宋体" w:cs="宋体"/>
                <w:sz w:val="22"/>
              </w:rPr>
              <w:t>目标2：不断提高装备支撑缉私业务能力，提高缉私警务装备适配性和科技含量；</w:t>
            </w:r>
          </w:p>
          <w:p>
            <w:pPr>
              <w:rPr>
                <w:rFonts w:ascii="宋体" w:eastAsia="宋体" w:cs="宋体"/>
                <w:sz w:val="22"/>
              </w:rPr>
            </w:pPr>
            <w:r>
              <w:rPr>
                <w:rFonts w:ascii="宋体" w:eastAsia="宋体" w:cs="宋体"/>
                <w:sz w:val="22"/>
              </w:rPr>
              <w:t>目标3：有效支撑缉私警察对突出走私犯罪活动始终保持严打高压态势，维护正常进出口秩序，捍卫“五位一体”发展总布局。</w:t>
            </w:r>
          </w:p>
        </w:tc>
      </w:tr>
      <w:tr>
        <w:trPr>
          <w:trHeight w:val="61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警务装备购置成本</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≤0.9万元/台套</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警务装备购置数量</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≥37台（套）</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新购警务装备质量达标率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新购警备装备按期到位率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警务装备有效使用率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重点装备使用寿命</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≥6年</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05"/>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成都海关关区缉私业务技术用房项目绩效目标表</w:t>
            </w:r>
          </w:p>
        </w:tc>
      </w:tr>
      <w:tr>
        <w:trPr>
          <w:trHeight w:val="302"/>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2"/>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成都海关关区缉私业务技术用房</w:t>
            </w:r>
          </w:p>
        </w:tc>
      </w:tr>
      <w:tr>
        <w:trPr>
          <w:trHeight w:val="302"/>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2"/>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112.00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2"/>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2"/>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112.00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2"/>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17"/>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目标1：根据关区缉私业务需要，新建成都海关关区缉私业务技术用房，保障缉私业务正常开展；</w:t>
            </w:r>
          </w:p>
          <w:p>
            <w:pPr>
              <w:rPr>
                <w:rFonts w:ascii="宋体" w:eastAsia="宋体" w:cs="宋体"/>
                <w:sz w:val="22"/>
              </w:rPr>
            </w:pPr>
            <w:r>
              <w:rPr>
                <w:rFonts w:ascii="宋体" w:eastAsia="宋体" w:cs="宋体"/>
                <w:sz w:val="22"/>
              </w:rPr>
              <w:t>目标2：认真执行国家有关基本建设法律法规、规章制度以及海关基本建设管理办法等规定，切实加强项目管理，落实项目各项责任制、招标投标制、工程监理制、合同管理制等管理制度，符合工程施工质量验收相关要求。</w:t>
            </w:r>
          </w:p>
        </w:tc>
      </w:tr>
      <w:tr>
        <w:trPr>
          <w:trHeight w:val="605"/>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工程建设单位成本</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≤0.056万元/平方米</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年度建设面积</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≥2013平方米</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工程验收合格率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工程重大安全事故</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0起</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50"/>
        <w:gridCol w:w="158"/>
        <w:gridCol w:w="1892"/>
        <w:gridCol w:w="2051"/>
        <w:gridCol w:w="1201"/>
      </w:tblGrid>
      <w:tr>
        <w:trPr>
          <w:trHeight w:val="593"/>
        </w:trPr>
        <w:tc>
          <w:tcPr>
            <w:tcW w:w="911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海关缉私办案费项目绩效目标表</w:t>
            </w:r>
          </w:p>
        </w:tc>
      </w:tr>
      <w:tr>
        <w:trPr>
          <w:trHeight w:val="296"/>
        </w:trPr>
        <w:tc>
          <w:tcPr>
            <w:tcW w:w="911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296"/>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海关缉私办案费</w:t>
            </w:r>
          </w:p>
        </w:tc>
      </w:tr>
      <w:tr>
        <w:trPr>
          <w:trHeight w:val="296"/>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296"/>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138.09</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29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138.09</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29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296"/>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779"/>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目标1：保障关区禁毒缉毒、打击走私等工作正常开展，把好国门安全关。</w:t>
            </w:r>
          </w:p>
          <w:p>
            <w:pPr>
              <w:rPr>
                <w:rFonts w:ascii="宋体" w:eastAsia="宋体" w:cs="宋体"/>
                <w:sz w:val="22"/>
              </w:rPr>
            </w:pPr>
          </w:p>
          <w:p>
            <w:pPr>
              <w:rPr>
                <w:rFonts w:ascii="宋体" w:eastAsia="宋体" w:cs="宋体"/>
                <w:sz w:val="22"/>
              </w:rPr>
            </w:pPr>
            <w:r>
              <w:rPr>
                <w:rFonts w:ascii="宋体" w:eastAsia="宋体" w:cs="宋体"/>
                <w:sz w:val="22"/>
              </w:rPr>
              <w:t>目标2：深化综合治理，拓展合作渠道，维持打击走私高压态势，有效震慑走私犯罪行为。</w:t>
              <w:tab/>
              <w:tab/>
              <w:tab/>
            </w:r>
          </w:p>
        </w:tc>
      </w:tr>
      <w:tr>
        <w:trPr>
          <w:trHeight w:val="593"/>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5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车辆购置成本</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≤18万元/辆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保障关警员数量（人）</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≥300人</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购置更新车辆数</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稽核查作业数</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≥850起</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稽核查作业有效率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9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购置更新车辆投入使用率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29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有效提升缉私工作能力</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优</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90"/>
        <w:gridCol w:w="1962"/>
        <w:gridCol w:w="1187"/>
      </w:tblGrid>
      <w:tr>
        <w:trPr>
          <w:trHeight w:val="62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国门生物安全专项项目绩效目标表</w:t>
            </w:r>
          </w:p>
        </w:tc>
      </w:tr>
      <w:tr>
        <w:trPr>
          <w:trHeight w:val="310"/>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国门生物安全专项</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10"/>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29.00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29.00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0"/>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w:t>
            </w:r>
          </w:p>
        </w:tc>
      </w:tr>
      <w:tr>
        <w:trPr>
          <w:trHeight w:val="62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9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开展国门生物安全宣传次数</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收集报送动植物境内外疫病疫情信息数量</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外来有害生物监测计划完成率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93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进口动植物及产品造成外来动植物疫情及有害生物爆发概率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重大突发检验检疫问题处理率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1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缉私部门计算机网络运行维护项目绩效目标表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缉私部门计算机网络运行维护</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93.50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93.50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6"/>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目标1：保证各关区缉私部门相关网络正常运行；</w:t>
            </w:r>
          </w:p>
          <w:p>
            <w:pPr>
              <w:rPr>
                <w:rFonts w:ascii="宋体" w:eastAsia="宋体" w:cs="宋体"/>
                <w:sz w:val="22"/>
              </w:rPr>
            </w:pPr>
            <w:r>
              <w:rPr>
                <w:rFonts w:ascii="宋体" w:eastAsia="宋体" w:cs="宋体"/>
                <w:sz w:val="22"/>
              </w:rPr>
              <w:t>目标2：开展单兵、警务终端等设备流量租赁，保证单兵等警务终端设备的正常使用；</w:t>
            </w:r>
          </w:p>
          <w:p>
            <w:pPr>
              <w:rPr>
                <w:rFonts w:ascii="宋体" w:eastAsia="宋体" w:cs="宋体"/>
                <w:sz w:val="22"/>
              </w:rPr>
            </w:pPr>
            <w:r>
              <w:rPr>
                <w:rFonts w:ascii="宋体" w:eastAsia="宋体" w:cs="宋体"/>
                <w:sz w:val="22"/>
              </w:rPr>
              <w:t>目标3：保障缉私相关系统平稳运行。</w:t>
            </w:r>
          </w:p>
          <w:p>
            <w:pPr>
              <w:rPr>
                <w:rFonts w:ascii="宋体" w:eastAsia="宋体" w:cs="宋体"/>
                <w:sz w:val="22"/>
              </w:rPr>
            </w:pPr>
            <w:r>
              <w:rPr>
                <w:rFonts w:ascii="宋体" w:eastAsia="宋体" w:cs="宋体"/>
                <w:sz w:val="22"/>
              </w:rPr>
              <w:t>目标4：提升业务保障能力。</w:t>
            </w:r>
          </w:p>
          <w:p>
            <w:pPr>
              <w:rPr>
                <w:rFonts w:ascii="宋体" w:eastAsia="宋体" w:cs="宋体"/>
                <w:sz w:val="22"/>
              </w:rPr>
            </w:pPr>
          </w:p>
        </w:tc>
      </w:tr>
      <w:tr>
        <w:trPr>
          <w:trHeight w:val="61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软、硬件配置完成率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网络、流量接入完成率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公安网设备标准符合率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系统故障率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利用系统办理案件数量</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≥20起</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各缉私业务部门满意度</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159"/>
        <w:gridCol w:w="1995"/>
        <w:gridCol w:w="1948"/>
        <w:gridCol w:w="1200"/>
      </w:tblGrid>
      <w:tr>
        <w:trPr>
          <w:trHeight w:val="623"/>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海关信息系统运行维护项目绩效目标表</w:t>
            </w:r>
          </w:p>
        </w:tc>
      </w:tr>
      <w:tr>
        <w:trPr>
          <w:trHeight w:val="311"/>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1"/>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海关信息系统运行维护</w:t>
            </w:r>
          </w:p>
        </w:tc>
      </w:tr>
      <w:tr>
        <w:trPr>
          <w:trHeight w:val="311"/>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11"/>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325.01</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1"/>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325.00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23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0.01</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297"/>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3128"/>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1"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目标1：通过购置/运维/替换信息化设备,做好信息系统工作，满足海关业务系统正常运行需要。</w:t>
            </w:r>
          </w:p>
          <w:p>
            <w:pPr>
              <w:rPr>
                <w:rFonts w:ascii="宋体" w:eastAsia="宋体" w:cs="宋体"/>
                <w:sz w:val="22"/>
              </w:rPr>
            </w:pPr>
            <w:r>
              <w:rPr>
                <w:rFonts w:ascii="宋体" w:eastAsia="宋体" w:cs="宋体"/>
                <w:sz w:val="22"/>
              </w:rPr>
              <w:t>目标2：开展应用项目的升级完善和运维保障，提供软件运维服务，保证项目正常运行,各项运维服务持续发挥作用。</w:t>
            </w:r>
          </w:p>
          <w:p>
            <w:pPr>
              <w:rPr>
                <w:rFonts w:ascii="宋体" w:eastAsia="宋体" w:cs="宋体"/>
                <w:sz w:val="22"/>
              </w:rPr>
            </w:pPr>
            <w:r>
              <w:rPr>
                <w:rFonts w:ascii="宋体" w:eastAsia="宋体" w:cs="宋体"/>
                <w:sz w:val="22"/>
              </w:rPr>
              <w:t>目标3：通过开展信息化基础设施和环境运行维护工作，指挥中心/机房/配电及ups系统/空调制冷系统/运维，确保和其他海关协同监管执法工作顺畅/机房环境/信息系统安全稳定运行。</w:t>
            </w:r>
          </w:p>
          <w:p>
            <w:pPr>
              <w:rPr>
                <w:rFonts w:ascii="宋体" w:eastAsia="宋体" w:cs="宋体"/>
                <w:sz w:val="22"/>
              </w:rPr>
            </w:pPr>
            <w:r>
              <w:rPr>
                <w:rFonts w:ascii="宋体" w:eastAsia="宋体" w:cs="宋体"/>
                <w:sz w:val="22"/>
              </w:rPr>
              <w:t>目标4：通过续租/改造扩容/维护网络线路续租，保障海关业务正常开展，及时响应线路故障，确保内外、外网正常运行。</w:t>
            </w:r>
          </w:p>
          <w:p>
            <w:pPr>
              <w:rPr>
                <w:rFonts w:ascii="宋体" w:eastAsia="宋体" w:cs="宋体"/>
                <w:sz w:val="22"/>
              </w:rPr>
            </w:pPr>
            <w:r>
              <w:rPr>
                <w:rFonts w:ascii="宋体" w:eastAsia="宋体" w:cs="宋体"/>
                <w:sz w:val="22"/>
              </w:rPr>
              <w:t>目标5：运维进出口监测预警系统，撰写各类分析报告，促进更多信息与资源应用到宏观经济管理领域。</w:t>
            </w:r>
          </w:p>
        </w:tc>
      </w:tr>
      <w:tr>
        <w:trPr>
          <w:trHeight w:val="623"/>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5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1"/>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年运维费用增幅</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1"/>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设备采购成本</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≤10000元/台/套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5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运维信息系统的数量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网络租用保障隶属海关数量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≥18个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1"/>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配置上网卡数量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≥300张</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85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更新、升级、改造、扩容信息化设备数量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9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核心系统平均可用率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产品质量符合国家强制标准的比例</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发生重大网络安全事件</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海关电子政务类系统使用率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54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使用人员满意度</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1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进出口食品及化妆品安全专项项目绩效目标表</w:t>
            </w:r>
          </w:p>
        </w:tc>
      </w:tr>
      <w:tr>
        <w:trPr>
          <w:trHeight w:val="305"/>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进出口食品及化妆品安全专项</w:t>
            </w:r>
          </w:p>
        </w:tc>
      </w:tr>
      <w:tr>
        <w:trPr>
          <w:trHeight w:val="30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5"/>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61.59</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61.59</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31"/>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目标1.组织实施对进出口食品化妆品的检验检疫监督管理。</w:t>
            </w:r>
          </w:p>
          <w:p>
            <w:pPr>
              <w:rPr>
                <w:rFonts w:ascii="宋体" w:eastAsia="宋体" w:cs="宋体"/>
                <w:sz w:val="22"/>
              </w:rPr>
            </w:pPr>
            <w:r>
              <w:rPr>
                <w:rFonts w:ascii="宋体" w:eastAsia="宋体" w:cs="宋体"/>
                <w:sz w:val="22"/>
              </w:rPr>
              <w:t>目标2.对境外发生的食品化妆品安全事件可能对我国境内造成影响，或者在接到执行管理部门通报进口食品化妆品中发现严重安全问题的，组织实施安全风险分析和紧急预防措施工作。</w:t>
            </w:r>
          </w:p>
          <w:p>
            <w:pPr>
              <w:rPr>
                <w:rFonts w:ascii="宋体" w:eastAsia="宋体" w:cs="宋体"/>
                <w:sz w:val="22"/>
              </w:rPr>
            </w:pPr>
            <w:r>
              <w:rPr>
                <w:rFonts w:ascii="宋体" w:eastAsia="宋体" w:cs="宋体"/>
                <w:sz w:val="22"/>
              </w:rPr>
              <w:t xml:space="preserve">目标3.按照总署食品局部署，开展国内外食品化妆品技术法规收集与分析，开展进出口食品化妆品安全风险信息收集、汇总工作。                                                            </w:t>
            </w:r>
          </w:p>
          <w:p>
            <w:pPr>
              <w:rPr>
                <w:rFonts w:ascii="宋体" w:eastAsia="宋体" w:cs="宋体"/>
                <w:sz w:val="22"/>
              </w:rPr>
            </w:pPr>
            <w:r>
              <w:rPr>
                <w:rFonts w:ascii="宋体" w:eastAsia="宋体" w:cs="宋体"/>
                <w:sz w:val="22"/>
              </w:rPr>
              <w:t xml:space="preserve">目标4.组织制定年度进出口食品化妆品监督抽检和风险监测计划。        </w:t>
            </w:r>
          </w:p>
        </w:tc>
      </w:tr>
      <w:tr>
        <w:trPr>
          <w:trHeight w:val="61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组织收集进出口食品化妆品安全风险信息数量</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当年制定年度进出口食品化妆品监督抽检、风险监测计划完成率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有关进出口食品安全监管的信访件回复率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开展食品安全宣传周活动，推动进出口食品安全工作多元共治</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≥1场</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50"/>
        <w:gridCol w:w="158"/>
        <w:gridCol w:w="1892"/>
        <w:gridCol w:w="2051"/>
        <w:gridCol w:w="1201"/>
      </w:tblGrid>
      <w:tr>
        <w:trPr>
          <w:trHeight w:val="605"/>
        </w:trPr>
        <w:tc>
          <w:tcPr>
            <w:tcW w:w="911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成都海关单身及交流干部集体宿舍配套训练设施项目绩效目标表</w:t>
            </w:r>
          </w:p>
        </w:tc>
      </w:tr>
      <w:tr>
        <w:trPr>
          <w:trHeight w:val="302"/>
        </w:trPr>
        <w:tc>
          <w:tcPr>
            <w:tcW w:w="911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2"/>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成都海关单身及交流干部集体宿舍配套训练设施</w:t>
            </w:r>
          </w:p>
        </w:tc>
      </w:tr>
      <w:tr>
        <w:trPr>
          <w:trHeight w:val="302"/>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2"/>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509.76</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2"/>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2"/>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9.76</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2"/>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17"/>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目标1：根据需要，配备成都海关单身及交流干部集体宿舍配套训练设施，增加关员运动场所，改善训练环境。</w:t>
            </w:r>
          </w:p>
          <w:p>
            <w:pPr>
              <w:rPr>
                <w:rFonts w:ascii="宋体" w:eastAsia="宋体" w:cs="宋体"/>
                <w:sz w:val="22"/>
              </w:rPr>
            </w:pPr>
            <w:r>
              <w:rPr>
                <w:rFonts w:ascii="宋体" w:eastAsia="宋体" w:cs="宋体"/>
                <w:sz w:val="22"/>
              </w:rPr>
              <w:t>目标2：认真执行国家有关基本建设法律法规、规章制度以及海关基本建设管理办法等规定，切实加强项目管理，落实项目各项责任制、招标投标制、工程监理制、合同管理制等管理制度，符合工程施工质量验收相关要求。</w:t>
            </w:r>
          </w:p>
        </w:tc>
      </w:tr>
      <w:tr>
        <w:trPr>
          <w:trHeight w:val="605"/>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5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2"/>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工程建设单位成本</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≤0.0345万元/平方米</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工程建设面积</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≥14791平方米</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工程验收合格率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工程重大安全事故</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0起</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50"/>
        <w:gridCol w:w="158"/>
        <w:gridCol w:w="1892"/>
        <w:gridCol w:w="2051"/>
        <w:gridCol w:w="1201"/>
      </w:tblGrid>
      <w:tr>
        <w:trPr>
          <w:trHeight w:val="616"/>
        </w:trPr>
        <w:tc>
          <w:tcPr>
            <w:tcW w:w="911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8"/>
        </w:trPr>
        <w:tc>
          <w:tcPr>
            <w:tcW w:w="911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8"/>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736.49</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736.14</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0.35</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48"/>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目标1：保障成都海关行政执法、风险管理等各项业务日常经费需求,保障海关行政执法能力和执法水平；</w:t>
            </w:r>
          </w:p>
          <w:p>
            <w:pPr>
              <w:rPr>
                <w:rFonts w:ascii="宋体" w:eastAsia="宋体" w:cs="宋体"/>
                <w:sz w:val="22"/>
              </w:rPr>
            </w:pPr>
            <w:r>
              <w:rPr>
                <w:rFonts w:ascii="宋体" w:eastAsia="宋体" w:cs="宋体"/>
                <w:sz w:val="22"/>
              </w:rPr>
              <w:t>目标2：保障成都海关行政执法技术支持的能力储备和其他支出需求；</w:t>
            </w:r>
          </w:p>
          <w:p>
            <w:pPr>
              <w:rPr>
                <w:rFonts w:ascii="宋体" w:eastAsia="宋体" w:cs="宋体"/>
                <w:sz w:val="22"/>
              </w:rPr>
            </w:pPr>
            <w:r>
              <w:rPr>
                <w:rFonts w:ascii="宋体" w:eastAsia="宋体" w:cs="宋体"/>
                <w:sz w:val="22"/>
              </w:rPr>
              <w:t xml:space="preserve">             </w:t>
            </w:r>
          </w:p>
        </w:tc>
      </w:tr>
      <w:tr>
        <w:trPr>
          <w:trHeight w:val="616"/>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5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公务用车购置成本</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≤45.5万元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完成单证印刷</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≥2批次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完成制服购置</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≥1批次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购置更新车辆数</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人员制服配发率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空白单证配发率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6</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50"/>
        <w:gridCol w:w="263"/>
        <w:gridCol w:w="1890"/>
        <w:gridCol w:w="1948"/>
        <w:gridCol w:w="1200"/>
      </w:tblGrid>
      <w:tr>
        <w:trPr>
          <w:trHeight w:val="616"/>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中国电子口岸建设运行经费项目绩效目标表</w:t>
            </w:r>
          </w:p>
        </w:tc>
      </w:tr>
      <w:tr>
        <w:trPr>
          <w:trHeight w:val="308"/>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中国电子口岸建设运行经费</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8"/>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56.20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56.20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48"/>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目标1：开展电子口岸专网二三级骨干线路租用项目，确保电子口岸二三级骨干线路安全、高效、稳定运行。电子口岸二三级骨干线路全年可用率达到99%以上。</w:t>
            </w:r>
          </w:p>
          <w:p>
            <w:pPr>
              <w:rPr>
                <w:rFonts w:ascii="宋体" w:eastAsia="宋体" w:cs="宋体"/>
                <w:sz w:val="22"/>
              </w:rPr>
            </w:pPr>
            <w:r>
              <w:rPr>
                <w:rFonts w:ascii="宋体" w:eastAsia="宋体" w:cs="宋体"/>
                <w:sz w:val="22"/>
              </w:rPr>
              <w:t>目标2：开展电子口岸执法系统运维项目，确保电子口岸执法系统安全、高效、稳定运行，系统全年可用率达到98%以上。</w:t>
            </w:r>
          </w:p>
          <w:p>
            <w:pPr>
              <w:rPr>
                <w:rFonts w:ascii="宋体" w:eastAsia="宋体" w:cs="宋体"/>
                <w:sz w:val="22"/>
              </w:rPr>
            </w:pPr>
            <w:r>
              <w:rPr>
                <w:rFonts w:ascii="宋体" w:eastAsia="宋体" w:cs="宋体"/>
                <w:sz w:val="22"/>
              </w:rPr>
              <w:t>目标3：确保日常行政办公工作持续、稳定、高效开展。</w:t>
            </w:r>
          </w:p>
          <w:p>
            <w:pPr>
              <w:rPr>
                <w:rFonts w:ascii="宋体" w:eastAsia="宋体" w:cs="宋体"/>
                <w:sz w:val="22"/>
              </w:rPr>
            </w:pPr>
            <w:r>
              <w:rPr>
                <w:rFonts w:ascii="宋体" w:eastAsia="宋体" w:cs="宋体"/>
                <w:sz w:val="22"/>
              </w:rPr>
              <w:t>目标4：通过制卡窗口、热线服务及系统稳定运行提升成都关区进出口企业满意度。</w:t>
            </w:r>
          </w:p>
        </w:tc>
      </w:tr>
      <w:tr>
        <w:trPr>
          <w:trHeight w:val="616"/>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5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运维信息系统数量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线路租赁</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全年话务量</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≥1200次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7</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每月机房巡检次数</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故障成功解决率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所承担运维系统整体可用率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处理故障平均时长</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≤4小时</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8</w:t>
            </w:r>
          </w:p>
        </w:tc>
      </w:tr>
      <w:tr>
        <w:trPr>
          <w:trHeight w:val="30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为企业通关提供便利</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优</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热线用户满意度</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50"/>
        <w:gridCol w:w="158"/>
        <w:gridCol w:w="1995"/>
        <w:gridCol w:w="1948"/>
        <w:gridCol w:w="1200"/>
      </w:tblGrid>
      <w:tr>
        <w:trPr>
          <w:trHeight w:val="626"/>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监管查验技术装备设备购建及能力保障专项项目绩效目标表</w:t>
            </w:r>
          </w:p>
        </w:tc>
      </w:tr>
      <w:tr>
        <w:trPr>
          <w:trHeight w:val="313"/>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31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13"/>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68.07</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68.07</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3"/>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79"/>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1"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目标1：严厉打击象牙等濒危物种走私犯罪活动，严禁洋垃圾进境，以最严格手段打击走私象牙违法犯罪行为。</w:t>
            </w:r>
          </w:p>
          <w:p>
            <w:pPr>
              <w:rPr>
                <w:rFonts w:ascii="宋体" w:eastAsia="宋体" w:cs="宋体"/>
                <w:sz w:val="22"/>
              </w:rPr>
            </w:pPr>
            <w:r>
              <w:rPr>
                <w:rFonts w:ascii="宋体" w:eastAsia="宋体" w:cs="宋体"/>
                <w:sz w:val="22"/>
              </w:rPr>
              <w:t>目标2：严厉查缉毒品及精神类物品入境。</w:t>
            </w:r>
          </w:p>
          <w:p>
            <w:pPr>
              <w:rPr>
                <w:rFonts w:ascii="宋体" w:eastAsia="宋体" w:cs="宋体"/>
                <w:sz w:val="22"/>
              </w:rPr>
            </w:pPr>
            <w:r>
              <w:rPr>
                <w:rFonts w:ascii="宋体" w:eastAsia="宋体" w:cs="宋体"/>
                <w:sz w:val="22"/>
              </w:rPr>
              <w:t>目标3：加强对进出境货物的查验管理，实现合理调配监管查验资源，进出口实际查验率保持在考核允许波动值以内。</w:t>
            </w:r>
          </w:p>
          <w:p>
            <w:pPr>
              <w:rPr>
                <w:rFonts w:ascii="宋体" w:eastAsia="宋体" w:cs="宋体"/>
                <w:sz w:val="22"/>
              </w:rPr>
            </w:pPr>
            <w:r>
              <w:rPr>
                <w:rFonts w:ascii="宋体" w:eastAsia="宋体" w:cs="宋体"/>
                <w:sz w:val="22"/>
              </w:rPr>
              <w:t>目标4：落实“扫黄打非”工作要求，实现强化政治保卫职责目标。</w:t>
            </w:r>
          </w:p>
        </w:tc>
      </w:tr>
      <w:tr>
        <w:trPr>
          <w:trHeight w:val="626"/>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5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验放印刷品及音像制品</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≥45万件</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验放邮递物品及快件</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≥95万件</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口岸辐射探测设备校准</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≥5台</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2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运维H986、CT机等大型监管查验装备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≥15台/套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监管进出境人员</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≥550万人次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进境快件机检查验率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93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H986、CT机等大型监管查验设备全年正常运行率（%）</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1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监管场所安全生产</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高</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26"/>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15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19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90"/>
        <w:gridCol w:w="1962"/>
        <w:gridCol w:w="1187"/>
      </w:tblGrid>
      <w:tr>
        <w:trPr>
          <w:trHeight w:val="616"/>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智慧海关建设与科技赋能保障专项项目绩效目标表</w:t>
            </w:r>
          </w:p>
        </w:tc>
      </w:tr>
      <w:tr>
        <w:trPr>
          <w:trHeight w:val="308"/>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智慧海关建设与科技赋能保障专项</w:t>
            </w:r>
          </w:p>
        </w:tc>
      </w:tr>
      <w:tr>
        <w:trPr>
          <w:trHeight w:val="30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8"/>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269.00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8"/>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269.00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8"/>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8"/>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48"/>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目标1：开发信息系统，进一步提升海关信息化水平。</w:t>
            </w:r>
          </w:p>
          <w:p>
            <w:pPr>
              <w:rPr>
                <w:rFonts w:ascii="宋体" w:eastAsia="宋体" w:cs="宋体"/>
                <w:sz w:val="22"/>
              </w:rPr>
            </w:pPr>
            <w:r>
              <w:rPr>
                <w:rFonts w:ascii="宋体" w:eastAsia="宋体" w:cs="宋体"/>
                <w:sz w:val="22"/>
              </w:rPr>
              <w:t>目标2：开展科研项目研究，维护国门安全。</w:t>
            </w:r>
          </w:p>
        </w:tc>
      </w:tr>
      <w:tr>
        <w:trPr>
          <w:trHeight w:val="616"/>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9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设备购置成本</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≤193万元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123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完成多因子驱动的“X疾病”时空模型及国门生物安全预警原型研究</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≥1项</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6"/>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参与海关行业标准制（修）订</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≥1项</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应急技术研究项目</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≥1项</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设备验收合格率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4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项目验收结题合格率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2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“X疾病”早期预警及快速反应技术保障率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90"/>
        <w:gridCol w:w="1962"/>
        <w:gridCol w:w="1186"/>
      </w:tblGrid>
      <w:tr>
        <w:trPr>
          <w:trHeight w:val="619"/>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海关信息化设备更新项目（海关）项目绩效目标表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海关信息化设备更新项目（海关）</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8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中华人民共和国成都海关本级</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324.00</w:t>
            </w:r>
          </w:p>
        </w:tc>
        <w:tc>
          <w:tcPr>
            <w:tcW w:w="118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324.00</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8"/>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通过购置海关信息化仪器设备，提高信息化水平，提升业务工作效率。</w:t>
            </w:r>
          </w:p>
        </w:tc>
      </w:tr>
      <w:tr>
        <w:trPr>
          <w:trHeight w:val="619"/>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9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仪器单位购置成本</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≤324万元</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购置仪器设备数量</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≥26台（套）</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有效开箱率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购置仪器设备验收合格率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经济效益指标</w:t>
            </w:r>
          </w:p>
        </w:tc>
        <w:tc>
          <w:tcPr>
            <w:tcW w:w="209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年度计划投资完成率</w:t>
            </w:r>
          </w:p>
        </w:tc>
        <w:tc>
          <w:tcPr>
            <w:tcW w:w="196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2100"/>
        <w:gridCol w:w="1751"/>
        <w:gridCol w:w="1187"/>
      </w:tblGrid>
      <w:tr>
        <w:trPr>
          <w:trHeight w:val="60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04"/>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0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中华人民共和国绵阳海关</w:t>
            </w:r>
          </w:p>
        </w:tc>
      </w:tr>
      <w:tr>
        <w:trPr>
          <w:trHeight w:val="304"/>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4"/>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4"/>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目标1：危化品等重点敏感商品检验监管能力持续加强，维护国门安全水平有效提升。</w:t>
            </w:r>
          </w:p>
          <w:p>
            <w:pPr>
              <w:rPr>
                <w:rFonts w:ascii="宋体" w:eastAsia="宋体" w:cs="宋体"/>
                <w:sz w:val="22"/>
              </w:rPr>
            </w:pPr>
            <w:r>
              <w:rPr>
                <w:rFonts w:ascii="宋体" w:eastAsia="宋体" w:cs="宋体"/>
                <w:sz w:val="22"/>
              </w:rPr>
              <w:t xml:space="preserve">目标2：获取进出口商品质量安全风险信息数量增加，风险评估及预警处置工作有序开展。                                     </w:t>
            </w:r>
          </w:p>
          <w:p>
            <w:pPr>
              <w:rPr>
                <w:rFonts w:ascii="宋体" w:eastAsia="宋体" w:cs="宋体"/>
                <w:sz w:val="22"/>
              </w:rPr>
            </w:pPr>
            <w:r>
              <w:rPr>
                <w:rFonts w:ascii="宋体" w:eastAsia="宋体" w:cs="宋体"/>
                <w:sz w:val="22"/>
              </w:rPr>
              <w:t>目标3：基于风险评估结果深化商检业务改革，促进跨境贸易便利化水平有效提升，有力增强人民群众获得感。</w:t>
            </w:r>
          </w:p>
        </w:tc>
      </w:tr>
      <w:tr>
        <w:trPr>
          <w:trHeight w:val="60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进出口危险化学品及包装实施检验率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对进出口企业覆盖率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2100"/>
        <w:gridCol w:w="1751"/>
        <w:gridCol w:w="1187"/>
      </w:tblGrid>
      <w:tr>
        <w:trPr>
          <w:trHeight w:val="62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310"/>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中华人民共和国绵阳海关</w:t>
            </w:r>
          </w:p>
        </w:tc>
      </w:tr>
      <w:tr>
        <w:trPr>
          <w:trHeight w:val="310"/>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1"/>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目标1：通过各类装备、设备的运维，提高海关监管工作效率，提升海关监管科技含量，提升海关装备设备现代化、科技化水平，优化海关缉监管与服务；                                                                               </w:t>
            </w:r>
          </w:p>
          <w:p>
            <w:pPr>
              <w:rPr>
                <w:rFonts w:ascii="宋体" w:eastAsia="宋体" w:cs="宋体"/>
                <w:sz w:val="22"/>
              </w:rPr>
            </w:pPr>
            <w:r>
              <w:rPr>
                <w:rFonts w:ascii="宋体" w:eastAsia="宋体" w:cs="宋体"/>
                <w:sz w:val="22"/>
              </w:rPr>
              <w:t xml:space="preserve">目标2：对海关各类实验室设施运行进行维护，保障符合《生物安全法》等法律法规要求，提高检测精准度；             </w:t>
            </w:r>
          </w:p>
          <w:p>
            <w:pPr>
              <w:rPr>
                <w:rFonts w:ascii="宋体" w:eastAsia="宋体" w:cs="宋体"/>
                <w:sz w:val="22"/>
              </w:rPr>
            </w:pPr>
            <w:r>
              <w:rPr>
                <w:rFonts w:ascii="宋体" w:eastAsia="宋体" w:cs="宋体"/>
                <w:sz w:val="22"/>
              </w:rPr>
              <w:t xml:space="preserve">目标3：对海关技术业务用房进行必要维护，保障业务正常开展。 </w:t>
            </w:r>
          </w:p>
        </w:tc>
      </w:tr>
      <w:tr>
        <w:trPr>
          <w:trHeight w:val="62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运维监管场所个数</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运维100万以下设备数量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≥60台</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1825"/>
        <w:gridCol w:w="2027"/>
        <w:gridCol w:w="1187"/>
      </w:tblGrid>
      <w:tr>
        <w:trPr>
          <w:trHeight w:val="61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305"/>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41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中华人民共和国乐山海关</w:t>
            </w:r>
          </w:p>
        </w:tc>
      </w:tr>
      <w:tr>
        <w:trPr>
          <w:trHeight w:val="478"/>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78"/>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30"/>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目标1：通过各类装备、设备的运维，提高海关监管工作效率，提升海关监管科技含量，提升海关装备设备现代化、科技化水平，优化海关监管与服务；</w:t>
            </w:r>
          </w:p>
          <w:p>
            <w:pPr>
              <w:rPr>
                <w:rFonts w:ascii="宋体" w:eastAsia="宋体" w:cs="宋体"/>
                <w:sz w:val="22"/>
              </w:rPr>
            </w:pPr>
            <w:r>
              <w:rPr>
                <w:rFonts w:ascii="宋体" w:eastAsia="宋体" w:cs="宋体"/>
                <w:sz w:val="22"/>
              </w:rPr>
              <w:t>目标2：对海关各类实验室设施运行进行维护，保障符合《生物安全法》等法律法规要求，提高检测精准度；</w:t>
            </w:r>
          </w:p>
          <w:p>
            <w:pPr>
              <w:rPr>
                <w:rFonts w:ascii="宋体" w:eastAsia="宋体" w:cs="宋体"/>
                <w:sz w:val="22"/>
              </w:rPr>
            </w:pPr>
            <w:r>
              <w:rPr>
                <w:rFonts w:ascii="宋体" w:eastAsia="宋体" w:cs="宋体"/>
                <w:sz w:val="22"/>
              </w:rPr>
              <w:t>目标3：对海关技术业务用房进行必要维护，保障业务正常开展。</w:t>
            </w:r>
          </w:p>
        </w:tc>
      </w:tr>
      <w:tr>
        <w:trPr>
          <w:trHeight w:val="61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2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7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运维监管场所个数</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5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运维设备数量</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≥25台/套</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运维场所可用率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维修及时率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02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关员满意度</w:t>
            </w:r>
          </w:p>
        </w:tc>
        <w:tc>
          <w:tcPr>
            <w:tcW w:w="20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2205"/>
        <w:gridCol w:w="1647"/>
        <w:gridCol w:w="1187"/>
      </w:tblGrid>
      <w:tr>
        <w:trPr>
          <w:trHeight w:val="61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05"/>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0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中华人民共和国乐山海关</w:t>
            </w:r>
          </w:p>
        </w:tc>
      </w:tr>
      <w:tr>
        <w:trPr>
          <w:trHeight w:val="305"/>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5"/>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30"/>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目标1：危化品等重点敏感商品检验监管能力持续加强，维护国门安全水平有效提升。</w:t>
            </w:r>
          </w:p>
          <w:p>
            <w:pPr>
              <w:rPr>
                <w:rFonts w:ascii="宋体" w:eastAsia="宋体" w:cs="宋体"/>
                <w:sz w:val="22"/>
              </w:rPr>
            </w:pPr>
            <w:r>
              <w:rPr>
                <w:rFonts w:ascii="宋体" w:eastAsia="宋体" w:cs="宋体"/>
                <w:sz w:val="22"/>
              </w:rPr>
              <w:t xml:space="preserve">目标2：获取进出口商品质量安全风险信息数量增加，风险评估及预警处置工作有序开展。 </w:t>
            </w:r>
          </w:p>
          <w:p>
            <w:pPr>
              <w:rPr>
                <w:rFonts w:ascii="宋体" w:eastAsia="宋体" w:cs="宋体"/>
                <w:sz w:val="22"/>
              </w:rPr>
            </w:pPr>
            <w:r>
              <w:rPr>
                <w:rFonts w:ascii="宋体" w:eastAsia="宋体" w:cs="宋体"/>
                <w:sz w:val="22"/>
              </w:rPr>
              <w:t>目标3：基于风险评估结果深化商检业务改革，促进跨境贸易便利化水平有效提升，有力增强人民群众获得感。</w:t>
            </w:r>
          </w:p>
        </w:tc>
      </w:tr>
      <w:tr>
        <w:trPr>
          <w:trHeight w:val="61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407"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≥1000批次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开展商检业务培训</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业务培训测试通过率</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通过风险信息形成风险监测、风险评估报告数量</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≥1份</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经检验做出不准出口决定的出口商品批次数量</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因海关检验原因导致的进出口危化品重大质量安全事故</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12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07"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w:t>
            </w:r>
          </w:p>
        </w:tc>
        <w:tc>
          <w:tcPr>
            <w:tcW w:w="164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369"/>
        <w:gridCol w:w="1682"/>
        <w:gridCol w:w="2051"/>
        <w:gridCol w:w="1200"/>
      </w:tblGrid>
      <w:tr>
        <w:trPr>
          <w:trHeight w:val="611"/>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5"/>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5"/>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5"/>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68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中华人民共和国攀枝花海关</w:t>
            </w:r>
          </w:p>
        </w:tc>
      </w:tr>
      <w:tr>
        <w:trPr>
          <w:trHeight w:val="305"/>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72.50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5"/>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72.50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5"/>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5"/>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4888"/>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保障攀枝花海关行政执法、法规制修订、风险管理等各项业务日常经费需求，提升攀枝花海关行政执法能力和执法水平；</w:t>
            </w:r>
          </w:p>
          <w:p>
            <w:pPr>
              <w:rPr>
                <w:rFonts w:ascii="宋体" w:eastAsia="宋体" w:cs="宋体"/>
                <w:sz w:val="22"/>
              </w:rPr>
            </w:pPr>
            <w:r>
              <w:rPr>
                <w:rFonts w:ascii="宋体" w:eastAsia="宋体" w:cs="宋体"/>
                <w:sz w:val="22"/>
              </w:rPr>
              <w:t>保障攀枝花海关开展执法业务所需的出国任务及外事接待工作有序开展；</w:t>
            </w:r>
          </w:p>
          <w:p>
            <w:pPr>
              <w:rPr>
                <w:rFonts w:ascii="宋体" w:eastAsia="宋体" w:cs="宋体"/>
                <w:sz w:val="22"/>
              </w:rPr>
            </w:pPr>
            <w:r>
              <w:rPr>
                <w:rFonts w:ascii="宋体" w:eastAsia="宋体" w:cs="宋体"/>
                <w:sz w:val="22"/>
              </w:rPr>
              <w:t>保障攀枝花海关行政执法技术支持的能力储备和其他支出需求，提升攀枝花海关进出境商品检验、动植物检疫、卫生检疫和应对技术性贸易措施的检测能力和水平；</w:t>
            </w:r>
          </w:p>
          <w:p>
            <w:pPr>
              <w:rPr>
                <w:rFonts w:ascii="宋体" w:eastAsia="宋体" w:cs="宋体"/>
                <w:sz w:val="22"/>
              </w:rPr>
            </w:pPr>
            <w:r>
              <w:rPr>
                <w:rFonts w:ascii="宋体" w:eastAsia="宋体" w:cs="宋体"/>
                <w:sz w:val="22"/>
              </w:rPr>
              <w:t>推动攀枝花海关技术性贸易壁垒的深入研究，促进我国对外贸易的顺利发展，遏制国外不合格的商品及产品流入国内，保护国家权益和人民的健康；</w:t>
            </w:r>
          </w:p>
          <w:p>
            <w:pPr>
              <w:rPr>
                <w:rFonts w:ascii="宋体" w:eastAsia="宋体" w:cs="宋体"/>
                <w:sz w:val="22"/>
              </w:rPr>
            </w:pPr>
            <w:r>
              <w:rPr>
                <w:rFonts w:ascii="宋体" w:eastAsia="宋体" w:cs="宋体"/>
                <w:sz w:val="22"/>
              </w:rPr>
              <w:t>配备净水、应急照明等设备，保障关员日常工作及身体健康，保障恶劣气候下满足随时通关、查验需要；</w:t>
            </w:r>
          </w:p>
          <w:p>
            <w:pPr>
              <w:rPr>
                <w:rFonts w:ascii="宋体" w:eastAsia="宋体" w:cs="宋体"/>
                <w:sz w:val="22"/>
              </w:rPr>
            </w:pPr>
            <w:r>
              <w:rPr>
                <w:rFonts w:ascii="宋体" w:eastAsia="宋体" w:cs="宋体"/>
                <w:sz w:val="22"/>
              </w:rPr>
              <w:t>配备应对突发事故所需的应急装备，更新换代不能满足现有安全保障要求的应急装备，及时予以补充、更新和维护，实现对应急工作的有效保障；</w:t>
            </w:r>
          </w:p>
          <w:p>
            <w:pPr>
              <w:rPr>
                <w:rFonts w:ascii="宋体" w:eastAsia="宋体" w:cs="宋体"/>
                <w:sz w:val="22"/>
              </w:rPr>
            </w:pPr>
            <w:r>
              <w:rPr>
                <w:rFonts w:ascii="宋体" w:eastAsia="宋体" w:cs="宋体"/>
                <w:sz w:val="22"/>
              </w:rPr>
              <w:t>建立运用大数据池技术，提升海关安全准入（出）风险、税收征管风险、卫生防疫风险的防控能力，发挥风险分析作用，为全链条海关业务提供支持；</w:t>
            </w:r>
          </w:p>
          <w:p>
            <w:pPr>
              <w:rPr>
                <w:rFonts w:ascii="宋体" w:eastAsia="宋体" w:cs="宋体"/>
                <w:sz w:val="22"/>
              </w:rPr>
            </w:pPr>
            <w:r>
              <w:rPr>
                <w:rFonts w:ascii="宋体" w:eastAsia="宋体" w:cs="宋体"/>
                <w:sz w:val="22"/>
              </w:rPr>
              <w:t>强化基层党建引领，通过组织培训、品牌创建等方式，实现党建高质量发展和模范机关创建；</w:t>
            </w:r>
          </w:p>
          <w:p>
            <w:pPr>
              <w:rPr>
                <w:rFonts w:ascii="宋体" w:eastAsia="宋体" w:cs="宋体"/>
                <w:sz w:val="22"/>
              </w:rPr>
            </w:pPr>
            <w:r>
              <w:rPr>
                <w:rFonts w:ascii="宋体" w:eastAsia="宋体" w:cs="宋体"/>
                <w:sz w:val="22"/>
              </w:rPr>
              <w:t>通过岗位练兵、军训，行风政风评价系统开发等方式，强化准军事化纪律部队作风养成；</w:t>
            </w:r>
          </w:p>
          <w:p>
            <w:pPr>
              <w:rPr>
                <w:rFonts w:ascii="宋体" w:eastAsia="宋体" w:cs="宋体"/>
                <w:sz w:val="22"/>
              </w:rPr>
            </w:pPr>
            <w:r>
              <w:rPr>
                <w:rFonts w:ascii="宋体" w:eastAsia="宋体" w:cs="宋体"/>
                <w:sz w:val="22"/>
              </w:rPr>
              <w:t>支持海关系统开展文体活动，以文化建设带动队伍建设。</w:t>
            </w:r>
          </w:p>
        </w:tc>
      </w:tr>
      <w:tr>
        <w:trPr>
          <w:trHeight w:val="611"/>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5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5"/>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车辆购置成本</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≤27.5万元/台/辆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5"/>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1"/>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对执法执勤工作保障及时率（%）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5"/>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264"/>
        <w:gridCol w:w="1787"/>
        <w:gridCol w:w="2051"/>
        <w:gridCol w:w="1201"/>
      </w:tblGrid>
      <w:tr>
        <w:trPr>
          <w:trHeight w:val="607"/>
        </w:trPr>
        <w:tc>
          <w:tcPr>
            <w:tcW w:w="9115"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艰苦地区边关综合保障专项项目绩效目标表</w:t>
            </w:r>
          </w:p>
        </w:tc>
      </w:tr>
      <w:tr>
        <w:trPr>
          <w:trHeight w:val="303"/>
        </w:trPr>
        <w:tc>
          <w:tcPr>
            <w:tcW w:w="9115"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艰苦地区边关综合保障专项</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7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2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中华人民共和国攀枝花海关</w:t>
            </w:r>
          </w:p>
        </w:tc>
      </w:tr>
      <w:tr>
        <w:trPr>
          <w:trHeight w:val="34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64.31</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4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64.31</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2"/>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目标1：改善艰苦地区边关工作、生活条件；</w:t>
            </w:r>
          </w:p>
          <w:p>
            <w:pPr>
              <w:rPr>
                <w:rFonts w:ascii="宋体" w:eastAsia="宋体" w:cs="宋体"/>
                <w:sz w:val="22"/>
              </w:rPr>
            </w:pPr>
            <w:r>
              <w:rPr>
                <w:rFonts w:ascii="宋体" w:eastAsia="宋体" w:cs="宋体"/>
                <w:sz w:val="22"/>
              </w:rPr>
              <w:t xml:space="preserve">目标2：给予艰苦地区边关更精准的政策倾斜和资金保障，逐步缩小目前艰苦地区边关与同地区戍边部队、边检等单位基础设施和工作生活条件保障差距。                                                                                                   </w:t>
            </w:r>
          </w:p>
          <w:p>
            <w:pPr>
              <w:rPr>
                <w:rFonts w:ascii="宋体" w:eastAsia="宋体" w:cs="宋体"/>
                <w:sz w:val="22"/>
              </w:rPr>
            </w:pPr>
          </w:p>
        </w:tc>
      </w:tr>
      <w:tr>
        <w:trPr>
          <w:trHeight w:val="607"/>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5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07"/>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运维保障暖心工程数量（个）</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82"/>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保障关员数量（人）</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≥25人</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0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体检覆盖率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3"/>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验收合格率</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7"/>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保障艰苦地区边关数量</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07"/>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05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关员满意度</w:t>
            </w:r>
          </w:p>
        </w:tc>
        <w:tc>
          <w:tcPr>
            <w:tcW w:w="20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202"/>
        <w:gridCol w:w="2100"/>
        <w:gridCol w:w="1751"/>
        <w:gridCol w:w="1187"/>
      </w:tblGrid>
      <w:tr>
        <w:trPr>
          <w:trHeight w:val="631"/>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15"/>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15"/>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中华人民共和国自贡海关</w:t>
            </w:r>
          </w:p>
        </w:tc>
      </w:tr>
      <w:tr>
        <w:trPr>
          <w:trHeight w:val="315"/>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3.70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3.70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5"/>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5"/>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93"/>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目标1：危化品等重点敏感商品检验监管能力持续加强，维护国门安全水平有效提升。</w:t>
            </w:r>
          </w:p>
          <w:p>
            <w:pPr>
              <w:rPr>
                <w:rFonts w:ascii="宋体" w:eastAsia="宋体" w:cs="宋体"/>
                <w:sz w:val="22"/>
              </w:rPr>
            </w:pPr>
            <w:r>
              <w:rPr>
                <w:rFonts w:ascii="宋体" w:eastAsia="宋体" w:cs="宋体"/>
                <w:sz w:val="22"/>
              </w:rPr>
              <w:t>目标2：获取进出口商品质量安全风险信息数量增加，风险评估及预警处置工作有序开展。</w:t>
            </w:r>
          </w:p>
          <w:p>
            <w:pPr>
              <w:rPr>
                <w:rFonts w:ascii="宋体" w:eastAsia="宋体" w:cs="宋体"/>
                <w:sz w:val="22"/>
              </w:rPr>
            </w:pPr>
            <w:r>
              <w:rPr>
                <w:rFonts w:ascii="宋体" w:eastAsia="宋体" w:cs="宋体"/>
                <w:sz w:val="22"/>
              </w:rPr>
              <w:t>目标3：基于风险评估结果深化商检业务改革，促进跨境贸易便利化水平有效提升，有力增强人民群众获得感。</w:t>
            </w:r>
          </w:p>
        </w:tc>
      </w:tr>
      <w:tr>
        <w:trPr>
          <w:trHeight w:val="631"/>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2"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3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≥100批次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3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开展商检业务培训</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业务培训合格率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46"/>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通过风险信息形成风险监测、风险评估报告数量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≥1份</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1262"/>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2"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264"/>
        <w:gridCol w:w="1995"/>
        <w:gridCol w:w="1843"/>
        <w:gridCol w:w="1200"/>
      </w:tblGrid>
      <w:tr>
        <w:trPr>
          <w:trHeight w:val="617"/>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8"/>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69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中华人民共和国泸州海关</w:t>
            </w:r>
          </w:p>
        </w:tc>
      </w:tr>
      <w:tr>
        <w:trPr>
          <w:trHeight w:val="504"/>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49.81</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71"/>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49.80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49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0.01</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88"/>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2325"/>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目标1：每个业务现场聘用临聘人员不少于1人，保障业务现场行政执法工作正常进行。</w:t>
            </w:r>
          </w:p>
          <w:p>
            <w:pPr>
              <w:rPr>
                <w:rFonts w:ascii="宋体" w:eastAsia="宋体" w:cs="宋体"/>
                <w:sz w:val="22"/>
              </w:rPr>
            </w:pPr>
            <w:r>
              <w:rPr>
                <w:rFonts w:ascii="宋体" w:eastAsia="宋体" w:cs="宋体"/>
                <w:sz w:val="22"/>
              </w:rPr>
              <w:t xml:space="preserve">目标2：加大业务宣传，提升执法形象、执法能力、群众满意度持续提升。 </w:t>
            </w:r>
          </w:p>
          <w:p>
            <w:pPr>
              <w:rPr>
                <w:rFonts w:ascii="宋体" w:eastAsia="宋体" w:cs="宋体"/>
                <w:sz w:val="22"/>
              </w:rPr>
            </w:pPr>
            <w:r>
              <w:rPr>
                <w:rFonts w:ascii="宋体" w:eastAsia="宋体" w:cs="宋体"/>
                <w:sz w:val="22"/>
              </w:rPr>
              <w:t>目标3：通过培训以提升政治能力、业务能力和执法能力为主要内容的学习和培训，推动全员业务素质明显提升、全国海关监管服务水平明显提升，实现队伍素质、业务水平、职务能力的整体进步。</w:t>
            </w:r>
          </w:p>
          <w:p>
            <w:pPr>
              <w:rPr>
                <w:rFonts w:ascii="宋体" w:eastAsia="宋体" w:cs="宋体"/>
                <w:sz w:val="22"/>
              </w:rPr>
            </w:pPr>
            <w:r>
              <w:rPr>
                <w:rFonts w:ascii="宋体" w:eastAsia="宋体" w:cs="宋体"/>
                <w:sz w:val="22"/>
              </w:rPr>
              <w:t>目标4：通过对进出口企业开展工作监管，有效服务地方产业转型升级。</w:t>
            </w:r>
          </w:p>
          <w:p>
            <w:pPr>
              <w:rPr>
                <w:rFonts w:ascii="宋体" w:eastAsia="宋体" w:cs="宋体"/>
                <w:sz w:val="22"/>
              </w:rPr>
            </w:pPr>
          </w:p>
          <w:p>
            <w:pPr>
              <w:rPr>
                <w:rFonts w:ascii="宋体" w:eastAsia="宋体" w:cs="宋体"/>
                <w:sz w:val="22"/>
              </w:rPr>
            </w:pPr>
          </w:p>
        </w:tc>
      </w:tr>
      <w:tr>
        <w:trPr>
          <w:trHeight w:val="617"/>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5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5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车辆采购成本</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≤19.8万元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5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购置车辆数量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1台</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≥3台</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4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培训合格率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598"/>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经济效益指标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159"/>
        <w:gridCol w:w="2205"/>
        <w:gridCol w:w="1738"/>
        <w:gridCol w:w="1200"/>
      </w:tblGrid>
      <w:tr>
        <w:trPr>
          <w:trHeight w:val="620"/>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10"/>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中华人民共和国宜宾海关</w:t>
            </w:r>
          </w:p>
        </w:tc>
      </w:tr>
      <w:tr>
        <w:trPr>
          <w:trHeight w:val="31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1"/>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目标1：保障宜宾关区行政执法、风险管理等各项业务日常经费需求，保障宜宾海关行政执法能力和执法水平；</w:t>
            </w:r>
          </w:p>
          <w:p>
            <w:pPr>
              <w:rPr>
                <w:rFonts w:ascii="宋体" w:eastAsia="宋体" w:cs="宋体"/>
                <w:sz w:val="22"/>
              </w:rPr>
            </w:pPr>
          </w:p>
          <w:p>
            <w:pPr>
              <w:rPr>
                <w:rFonts w:ascii="宋体" w:eastAsia="宋体" w:cs="宋体"/>
                <w:sz w:val="22"/>
              </w:rPr>
            </w:pPr>
            <w:r>
              <w:rPr>
                <w:rFonts w:ascii="宋体" w:eastAsia="宋体" w:cs="宋体"/>
                <w:sz w:val="22"/>
              </w:rPr>
              <w:t>目标2：保障宜宾关区行政执法技术支持的能力储备和其他支出需求。</w:t>
            </w:r>
          </w:p>
        </w:tc>
      </w:tr>
      <w:tr>
        <w:trPr>
          <w:trHeight w:val="620"/>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完成单证印刷</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6"/>
        <w:gridCol w:w="412"/>
        <w:gridCol w:w="2206"/>
        <w:gridCol w:w="1437"/>
        <w:gridCol w:w="1187"/>
      </w:tblGrid>
      <w:tr>
        <w:trPr>
          <w:trHeight w:val="620"/>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口岸公共卫生安全专项项目绩效目标表</w:t>
            </w:r>
          </w:p>
        </w:tc>
      </w:tr>
      <w:tr>
        <w:trPr>
          <w:trHeight w:val="310"/>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口岸公共卫生安全专项</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3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2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中华人民共和国成都双流机场海关</w:t>
            </w:r>
          </w:p>
        </w:tc>
      </w:tr>
      <w:tr>
        <w:trPr>
          <w:trHeight w:val="310"/>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3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6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37.00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43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6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37.00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43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6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3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64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2"/>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该项主要对国境口岸食品生产经营、饮用水供应、公共场所和储存场地经营单位实施监督管理，以及对出入境旅客实施传染病快速检测，及时发现口岸重大公共卫生风险、问题，有效防控国境口岸区域内卫生监督工作中的公共卫生安全风险，切实保障口岸通关便利化；在重点区域开展病媒生物病原体监测，防止重点区域重大烈性传染病传入传出。防止传染病自口岸传入传出，保证口岸公共卫生安全。</w:t>
            </w:r>
          </w:p>
        </w:tc>
      </w:tr>
      <w:tr>
        <w:trPr>
          <w:trHeight w:val="620"/>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618"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传染病防控宣传</w:t>
            </w:r>
          </w:p>
        </w:tc>
        <w:tc>
          <w:tcPr>
            <w:tcW w:w="14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口岸传染病疫情风险评估</w:t>
            </w:r>
          </w:p>
        </w:tc>
        <w:tc>
          <w:tcPr>
            <w:tcW w:w="14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对出入境人员有症状人员开展传染病检测率</w:t>
            </w:r>
          </w:p>
        </w:tc>
        <w:tc>
          <w:tcPr>
            <w:tcW w:w="14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口岸重大和特别重大突发公共卫生事件处置率</w:t>
            </w:r>
          </w:p>
        </w:tc>
        <w:tc>
          <w:tcPr>
            <w:tcW w:w="14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5"/>
        <w:gridCol w:w="308"/>
        <w:gridCol w:w="2310"/>
        <w:gridCol w:w="1436"/>
        <w:gridCol w:w="1187"/>
      </w:tblGrid>
      <w:tr>
        <w:trPr>
          <w:trHeight w:val="621"/>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监管查验技术装备设备购建及能力保障专项项目绩效目标表</w:t>
            </w:r>
          </w:p>
        </w:tc>
      </w:tr>
      <w:tr>
        <w:trPr>
          <w:trHeight w:val="310"/>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621"/>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2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中华人民共和国成都双流机场海关</w:t>
            </w:r>
          </w:p>
        </w:tc>
      </w:tr>
      <w:tr>
        <w:trPr>
          <w:trHeight w:val="310"/>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9.00</w:t>
            </w:r>
          </w:p>
        </w:tc>
        <w:tc>
          <w:tcPr>
            <w:tcW w:w="1186"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9.00</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nil"/>
              <w:right w:val="single" w:sz="6" w:space="0" w:color="auto"/>
              <w:tl2br w:val="nil"/>
              <w:tr2bl w:val="nil"/>
            </w:tcBorders>
            <w:noWrap/>
            <w:vAlign w:val="center"/>
          </w:tcPr>
          <w:p/>
        </w:tc>
      </w:tr>
      <w:tr>
        <w:trPr>
          <w:trHeight w:val="310"/>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6"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3"/>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目标1：做好口岸监管工作用犬工作的的正常运行与维护，保障监管工作用犬正常租用、考核、使用等；</w:t>
            </w:r>
          </w:p>
          <w:p>
            <w:pPr>
              <w:rPr>
                <w:rFonts w:ascii="宋体" w:eastAsia="宋体" w:cs="宋体"/>
                <w:sz w:val="22"/>
              </w:rPr>
            </w:pPr>
            <w:r>
              <w:rPr>
                <w:rFonts w:ascii="宋体" w:eastAsia="宋体" w:cs="宋体"/>
                <w:sz w:val="22"/>
              </w:rPr>
              <w:t>目标2：增强动植物有害生物通过快件渠道传入我国的风险防控能力，有效防范外来有害生物的入侵；</w:t>
            </w:r>
          </w:p>
          <w:p>
            <w:pPr>
              <w:rPr>
                <w:rFonts w:ascii="宋体" w:eastAsia="宋体" w:cs="宋体"/>
                <w:sz w:val="22"/>
              </w:rPr>
            </w:pPr>
            <w:r>
              <w:rPr>
                <w:rFonts w:ascii="宋体" w:eastAsia="宋体" w:cs="宋体"/>
                <w:sz w:val="22"/>
              </w:rPr>
              <w:t>目标3：提高监管工作用犬截获率。</w:t>
            </w:r>
          </w:p>
        </w:tc>
      </w:tr>
      <w:tr>
        <w:trPr>
          <w:trHeight w:val="621"/>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618"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保障工作用犬口岸数量</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≥1.00个</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保障口岸监管工作用犬数量（只）</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≥2.00只</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监管工作犬年度初训/复训率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1"/>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犬只上岗航班截获违禁物占比</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≥60%</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1"/>
        <w:gridCol w:w="2049"/>
        <w:gridCol w:w="264"/>
        <w:gridCol w:w="2205"/>
        <w:gridCol w:w="1633"/>
        <w:gridCol w:w="1200"/>
      </w:tblGrid>
      <w:tr>
        <w:trPr>
          <w:trHeight w:val="619"/>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309"/>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中华人民共和国南充海关</w:t>
            </w:r>
          </w:p>
        </w:tc>
      </w:tr>
      <w:tr>
        <w:trPr>
          <w:trHeight w:val="309"/>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7"/>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通过各类装备、设备的运维，提高海关监管工作效率，缓解海关人力资源不足与日益增长的监管工作量之间的矛盾，提升海关监管科技含量，提升海关装备设备现代化、科技化水平，优化海关缉监管与服务。</w:t>
            </w:r>
          </w:p>
        </w:tc>
      </w:tr>
      <w:tr>
        <w:trPr>
          <w:trHeight w:val="619"/>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46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1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运维通用设备数量（台/套）</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1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运维专用设备数量（台/套）</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1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设备设施正常使用率（%）</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设备维修及时率</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9"/>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关警员对设备运行满意度</w:t>
            </w:r>
          </w:p>
        </w:tc>
        <w:tc>
          <w:tcPr>
            <w:tcW w:w="163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5"/>
        <w:gridCol w:w="308"/>
        <w:gridCol w:w="2310"/>
        <w:gridCol w:w="1436"/>
        <w:gridCol w:w="1187"/>
      </w:tblGrid>
      <w:tr>
        <w:trPr>
          <w:trHeight w:val="617"/>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8"/>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62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中华人民共和国南充海关</w:t>
            </w:r>
          </w:p>
        </w:tc>
      </w:tr>
      <w:tr>
        <w:trPr>
          <w:trHeight w:val="308"/>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49.00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8"/>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49.00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8"/>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8"/>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3"/>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目标1：保障南充海关行政执法技术支持的能力储备和其他支出需求，提升南充海关进出境商品检验、动植物检疫、卫生检疫和应对技术性贸易措施的检测能力和水平；</w:t>
            </w:r>
          </w:p>
          <w:p>
            <w:pPr>
              <w:rPr>
                <w:rFonts w:ascii="宋体" w:eastAsia="宋体" w:cs="宋体"/>
                <w:sz w:val="22"/>
              </w:rPr>
            </w:pPr>
            <w:r>
              <w:rPr>
                <w:rFonts w:ascii="宋体" w:eastAsia="宋体" w:cs="宋体"/>
                <w:sz w:val="22"/>
              </w:rPr>
              <w:t>目标2：推动南充海关技术性贸易壁垒的深入研究，促进关区对外贸易的顺利发展，遏制国外不合格的商品及产品流入国内，保护国家权益和人民的健康。</w:t>
            </w:r>
          </w:p>
        </w:tc>
      </w:tr>
      <w:tr>
        <w:trPr>
          <w:trHeight w:val="617"/>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618"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1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完成业务培训数量（人次或期次）</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执法人员持证上岗率（%）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业务培训参训率（%）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618"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参与对外交流，提升业务开展能力</w:t>
            </w:r>
          </w:p>
        </w:tc>
        <w:tc>
          <w:tcPr>
            <w:tcW w:w="143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2"/>
        <w:gridCol w:w="1202"/>
        <w:gridCol w:w="2049"/>
        <w:gridCol w:w="264"/>
        <w:gridCol w:w="2100"/>
        <w:gridCol w:w="1738"/>
        <w:gridCol w:w="1200"/>
      </w:tblGrid>
      <w:tr>
        <w:trPr>
          <w:trHeight w:val="620"/>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10"/>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中华人民共和国德阳海关</w:t>
            </w:r>
          </w:p>
        </w:tc>
      </w:tr>
      <w:tr>
        <w:trPr>
          <w:trHeight w:val="31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64"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5.90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4"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4"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1"/>
        </w:trPr>
        <w:tc>
          <w:tcPr>
            <w:tcW w:w="56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1、德阳海关进出口机电监管及危化品监管按要求完成，保质保量完成中期下达的检测目标。</w:t>
            </w:r>
          </w:p>
          <w:p>
            <w:pPr>
              <w:rPr>
                <w:rFonts w:ascii="宋体" w:eastAsia="宋体" w:cs="宋体"/>
                <w:sz w:val="22"/>
              </w:rPr>
            </w:pPr>
            <w:r>
              <w:rPr>
                <w:rFonts w:ascii="宋体" w:eastAsia="宋体" w:cs="宋体"/>
                <w:sz w:val="22"/>
              </w:rPr>
              <w:t>2、德阳海关有效获取进出口商品质量安全风险信息，风险评估及预警处置工作有序开展。</w:t>
            </w:r>
          </w:p>
          <w:p>
            <w:pPr>
              <w:rPr>
                <w:rFonts w:ascii="宋体" w:eastAsia="宋体" w:cs="宋体"/>
                <w:sz w:val="22"/>
              </w:rPr>
            </w:pPr>
            <w:r>
              <w:rPr>
                <w:rFonts w:ascii="宋体" w:eastAsia="宋体" w:cs="宋体"/>
                <w:sz w:val="22"/>
              </w:rPr>
              <w:t>3、德阳海关进出口业务正常开展，保障企业正常进出口，促进地方外贸发展，使跨境贸易便利化水平有效提升，有力增强人民群众获得感。</w:t>
            </w:r>
          </w:p>
        </w:tc>
      </w:tr>
      <w:tr>
        <w:trPr>
          <w:trHeight w:val="620"/>
        </w:trPr>
        <w:tc>
          <w:tcPr>
            <w:tcW w:w="56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进出口危化品及包装实施检测率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93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通过风险信息形成风险监测、风险评估报告数量</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≥5份</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124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因海关检验原因导致的进口消费类商品危害人民群众生命健康重大质量安全事故</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20"/>
        </w:trPr>
        <w:tc>
          <w:tcPr>
            <w:tcW w:w="562"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企业对海关抽检人员满意度</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5"/>
        <w:gridCol w:w="308"/>
        <w:gridCol w:w="1995"/>
        <w:gridCol w:w="1752"/>
        <w:gridCol w:w="1187"/>
      </w:tblGrid>
      <w:tr>
        <w:trPr>
          <w:trHeight w:val="61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中华人民共和国德阳海关</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4"/>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1、通过提升德阳海关人员业务能力和基础建设水平，保障关内行政执法、风险管理、压缩通关时效等各项业务正常开展。</w:t>
            </w:r>
          </w:p>
          <w:p>
            <w:pPr>
              <w:rPr>
                <w:rFonts w:ascii="宋体" w:eastAsia="宋体" w:cs="宋体"/>
                <w:sz w:val="22"/>
              </w:rPr>
            </w:pPr>
            <w:r>
              <w:rPr>
                <w:rFonts w:ascii="宋体" w:eastAsia="宋体" w:cs="宋体"/>
                <w:sz w:val="22"/>
              </w:rPr>
              <w:t>2、通过提高检测水平和效率，保障我关行政执法能力和执法水平。</w:t>
            </w:r>
          </w:p>
          <w:p>
            <w:pPr>
              <w:rPr>
                <w:rFonts w:ascii="宋体" w:eastAsia="宋体" w:cs="宋体"/>
                <w:sz w:val="22"/>
              </w:rPr>
            </w:pPr>
          </w:p>
        </w:tc>
      </w:tr>
      <w:tr>
        <w:trPr>
          <w:trHeight w:val="61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公车运维成本</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≤11万元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外出培训学习</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培训合格率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5"/>
        <w:gridCol w:w="308"/>
        <w:gridCol w:w="2205"/>
        <w:gridCol w:w="1541"/>
        <w:gridCol w:w="1187"/>
      </w:tblGrid>
      <w:tr>
        <w:trPr>
          <w:trHeight w:val="62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14"/>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14"/>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2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中华人民共和国遂宁海关</w:t>
            </w:r>
          </w:p>
        </w:tc>
      </w:tr>
      <w:tr>
        <w:trPr>
          <w:trHeight w:val="314"/>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23.00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23.00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4"/>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4"/>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2829"/>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一、通过以提升政治能力、业务能力和执法能力为主要内容的学习和培训，推动关员思想业务素质明显提升、遂宁海关监管服务水平明显提升，实现队伍素质、业务水平、服务能力的整体进步； </w:t>
            </w:r>
          </w:p>
          <w:p>
            <w:pPr>
              <w:rPr>
                <w:rFonts w:ascii="宋体" w:eastAsia="宋体" w:cs="宋体"/>
                <w:sz w:val="22"/>
              </w:rPr>
            </w:pPr>
            <w:r>
              <w:rPr>
                <w:rFonts w:ascii="宋体" w:eastAsia="宋体" w:cs="宋体"/>
                <w:sz w:val="22"/>
              </w:rPr>
              <w:t>二、通过监督抽检和风险监控，加强动植物检疫监管，推进进出境动植物及其产品分级分类管理，强化进境敏感产品检疫工作；</w:t>
            </w:r>
          </w:p>
          <w:p>
            <w:pPr>
              <w:rPr>
                <w:rFonts w:ascii="宋体" w:eastAsia="宋体" w:cs="宋体"/>
                <w:sz w:val="22"/>
              </w:rPr>
            </w:pPr>
            <w:r>
              <w:rPr>
                <w:rFonts w:ascii="宋体" w:eastAsia="宋体" w:cs="宋体"/>
                <w:sz w:val="22"/>
              </w:rPr>
              <w:t>三、通过保障公务用车运行，保障执法执勤出行安全；</w:t>
            </w:r>
          </w:p>
          <w:p>
            <w:pPr>
              <w:rPr>
                <w:rFonts w:ascii="宋体" w:eastAsia="宋体" w:cs="宋体"/>
                <w:sz w:val="22"/>
              </w:rPr>
            </w:pPr>
            <w:r>
              <w:rPr>
                <w:rFonts w:ascii="宋体" w:eastAsia="宋体" w:cs="宋体"/>
                <w:sz w:val="22"/>
              </w:rPr>
              <w:t>四、通过到企业开展现场业务，保障我关顺利展开遂宁范围内进出口食品，动植物及其产品的检验检疫和监督管理，动植物源性食品残留物质监控，进出口工业产品检验和企业监督管理，出口企业强制性产品认证等各项工作；</w:t>
            </w:r>
          </w:p>
          <w:p>
            <w:pPr>
              <w:rPr>
                <w:rFonts w:ascii="宋体" w:eastAsia="宋体" w:cs="宋体"/>
                <w:sz w:val="22"/>
              </w:rPr>
            </w:pPr>
            <w:r>
              <w:rPr>
                <w:rFonts w:ascii="宋体" w:eastAsia="宋体" w:cs="宋体"/>
                <w:sz w:val="22"/>
              </w:rPr>
              <w:t>五、通过保障各项业务活动开支，提高对监管区企业服务能力；</w:t>
            </w:r>
          </w:p>
        </w:tc>
      </w:tr>
      <w:tr>
        <w:trPr>
          <w:trHeight w:val="62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51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保障执法执勤用车数量</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培训人次</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≥65人次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培训合格率</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2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51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企业对业务服务工作（抽样）满意度</w:t>
            </w:r>
          </w:p>
        </w:tc>
        <w:tc>
          <w:tcPr>
            <w:tcW w:w="154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9"/>
        <w:gridCol w:w="264"/>
        <w:gridCol w:w="1995"/>
        <w:gridCol w:w="1843"/>
        <w:gridCol w:w="1200"/>
      </w:tblGrid>
      <w:tr>
        <w:trPr>
          <w:trHeight w:val="609"/>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4"/>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4"/>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52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中华人民共和国天府新区海关</w:t>
            </w:r>
          </w:p>
        </w:tc>
      </w:tr>
      <w:tr>
        <w:trPr>
          <w:trHeight w:val="526"/>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22.00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84"/>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22.00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71"/>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71"/>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8"/>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目标1：通过采用抽样、监管、检测等方式保障天府新区海关行政执法技术支持的能力储备，提升天府新区海关进出境商品检验、动植物检疫、卫生检疫和应对技术性贸易措施的检测能力和水平；</w:t>
            </w:r>
          </w:p>
          <w:p>
            <w:pPr>
              <w:rPr>
                <w:rFonts w:ascii="宋体" w:eastAsia="宋体" w:cs="宋体"/>
                <w:sz w:val="22"/>
              </w:rPr>
            </w:pPr>
            <w:r>
              <w:rPr>
                <w:rFonts w:ascii="宋体" w:eastAsia="宋体" w:cs="宋体"/>
                <w:sz w:val="22"/>
              </w:rPr>
              <w:t>目标2：通过调研推动天府新区海关技术性贸易壁垒的深入研究，促进我国对外贸易的顺利发展，遏制国外不合格的商品及产品流入辖区，保护国家权益和人民的健康。</w:t>
            </w:r>
          </w:p>
        </w:tc>
      </w:tr>
      <w:tr>
        <w:trPr>
          <w:trHeight w:val="609"/>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5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11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引入第三方机构委托开展工作次数</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81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法定检验检测任务完成率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25</w:t>
            </w:r>
          </w:p>
        </w:tc>
      </w:tr>
      <w:tr>
        <w:trPr>
          <w:trHeight w:val="66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≥96%</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地方政府执法满意度</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9"/>
        <w:gridCol w:w="159"/>
        <w:gridCol w:w="2310"/>
        <w:gridCol w:w="1633"/>
        <w:gridCol w:w="1200"/>
      </w:tblGrid>
      <w:tr>
        <w:trPr>
          <w:trHeight w:val="615"/>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7"/>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7"/>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7"/>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中华人民共和国广元海关</w:t>
            </w:r>
          </w:p>
        </w:tc>
      </w:tr>
      <w:tr>
        <w:trPr>
          <w:trHeight w:val="307"/>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47.50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7"/>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47.50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7"/>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7"/>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45"/>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p>
          <w:p>
            <w:pPr>
              <w:rPr>
                <w:rFonts w:ascii="宋体" w:eastAsia="宋体" w:cs="宋体"/>
                <w:sz w:val="22"/>
              </w:rPr>
            </w:pPr>
            <w:r>
              <w:rPr>
                <w:rFonts w:ascii="宋体" w:eastAsia="宋体" w:cs="宋体"/>
                <w:sz w:val="22"/>
              </w:rPr>
              <w:t>目标1：通过到企业开展现场业务，保障我关顺利展开辖区内进出口食品、动植物及其产品的检验检疫和监督管理，提高海关业务保障水平。</w:t>
              <w:tab/>
              <w:tab/>
            </w:r>
          </w:p>
          <w:p>
            <w:pPr>
              <w:rPr>
                <w:rFonts w:ascii="宋体" w:eastAsia="宋体" w:cs="宋体"/>
                <w:sz w:val="22"/>
              </w:rPr>
            </w:pPr>
          </w:p>
        </w:tc>
      </w:tr>
      <w:tr>
        <w:trPr>
          <w:trHeight w:val="615"/>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46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公车单位购置成本</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≤27.5万元/辆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公车运维成本</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≤4万元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业务宣传</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保障执法执勤用车数量</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0</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因保障能力造成的执法差错率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广元海关法定检验检测任务完成率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广元海关检验检疫监督抽查任务完成率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检验检疫业务单证差错率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应急物资保障的及时率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46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9"/>
        <w:gridCol w:w="159"/>
        <w:gridCol w:w="2205"/>
        <w:gridCol w:w="1738"/>
        <w:gridCol w:w="1200"/>
      </w:tblGrid>
      <w:tr>
        <w:trPr>
          <w:trHeight w:val="618"/>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9"/>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20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中华人民共和国达州海关</w:t>
            </w:r>
          </w:p>
        </w:tc>
      </w:tr>
      <w:tr>
        <w:trPr>
          <w:trHeight w:val="309"/>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4"/>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目标1：保障达州海关行政执法、风险管理等各项业务日常经费需求，保障达州海关行政执法能力和执法水平；</w:t>
            </w:r>
          </w:p>
          <w:p>
            <w:pPr>
              <w:rPr>
                <w:rFonts w:ascii="宋体" w:eastAsia="宋体" w:cs="宋体"/>
                <w:sz w:val="22"/>
              </w:rPr>
            </w:pPr>
            <w:r>
              <w:rPr>
                <w:rFonts w:ascii="宋体" w:eastAsia="宋体" w:cs="宋体"/>
                <w:sz w:val="22"/>
              </w:rPr>
              <w:t>目标2：保障达州海关行政执法技术支持的能力储备和其他支出需求。</w:t>
            </w:r>
          </w:p>
        </w:tc>
      </w:tr>
      <w:tr>
        <w:trPr>
          <w:trHeight w:val="618"/>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培训合格率</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73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5"/>
        <w:gridCol w:w="308"/>
        <w:gridCol w:w="1995"/>
        <w:gridCol w:w="1752"/>
        <w:gridCol w:w="1187"/>
      </w:tblGrid>
      <w:tr>
        <w:trPr>
          <w:trHeight w:val="627"/>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13"/>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3"/>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430"/>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中华人民共和国内江海关</w:t>
            </w:r>
          </w:p>
        </w:tc>
      </w:tr>
      <w:tr>
        <w:trPr>
          <w:trHeight w:val="492"/>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68.00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92"/>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68.00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3"/>
        </w:trPr>
        <w:tc>
          <w:tcPr>
            <w:tcW w:w="1743"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13"/>
        </w:trPr>
        <w:tc>
          <w:tcPr>
            <w:tcW w:w="174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81"/>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目标1：保障内江海关关区行政执法、风险管理等各项业务日常经费需求,保障海关行政执法能力和执法水平；</w:t>
            </w:r>
          </w:p>
          <w:p>
            <w:pPr>
              <w:rPr>
                <w:rFonts w:ascii="宋体" w:eastAsia="宋体" w:cs="宋体"/>
                <w:sz w:val="22"/>
              </w:rPr>
            </w:pPr>
            <w:r>
              <w:rPr>
                <w:rFonts w:ascii="宋体" w:eastAsia="宋体" w:cs="宋体"/>
                <w:sz w:val="22"/>
              </w:rPr>
              <w:t>目标2：保障内江海关关区行政执法技术支持的能力储备和其他支出需求。</w:t>
            </w:r>
          </w:p>
          <w:p>
            <w:pPr>
              <w:rPr>
                <w:rFonts w:ascii="宋体" w:eastAsia="宋体" w:cs="宋体"/>
                <w:sz w:val="22"/>
              </w:rPr>
            </w:pPr>
          </w:p>
        </w:tc>
      </w:tr>
      <w:tr>
        <w:trPr>
          <w:trHeight w:val="627"/>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3"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6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车辆购置成本</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≤18万元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业务培训</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业务宣传</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6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6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购置车辆数量</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0</w:t>
            </w:r>
          </w:p>
        </w:tc>
      </w:tr>
      <w:tr>
        <w:trPr>
          <w:trHeight w:val="3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5"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培训通过率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3"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75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9"/>
        <w:gridCol w:w="264"/>
        <w:gridCol w:w="1890"/>
        <w:gridCol w:w="1948"/>
        <w:gridCol w:w="1200"/>
      </w:tblGrid>
      <w:tr>
        <w:trPr>
          <w:trHeight w:val="632"/>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监管查验技术装备设备购建及能力保障专项项目绩效目标表</w:t>
            </w:r>
          </w:p>
        </w:tc>
      </w:tr>
      <w:tr>
        <w:trPr>
          <w:trHeight w:val="316"/>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6"/>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监管查验技术装备设备购建及能力保障专项</w:t>
            </w:r>
          </w:p>
        </w:tc>
      </w:tr>
      <w:tr>
        <w:trPr>
          <w:trHeight w:val="316"/>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中华人民共和国成都邮局海关</w:t>
            </w:r>
          </w:p>
        </w:tc>
      </w:tr>
      <w:tr>
        <w:trPr>
          <w:trHeight w:val="316"/>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51.00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51.00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6"/>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96"/>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目标1：做好口岸监管工作用犬工作的的正常运行与维护，保障监管工作用犬正常租用、考核、使用等；                                                                                  </w:t>
            </w:r>
          </w:p>
          <w:p>
            <w:pPr>
              <w:rPr>
                <w:rFonts w:ascii="宋体" w:eastAsia="宋体" w:cs="宋体"/>
                <w:sz w:val="22"/>
              </w:rPr>
            </w:pPr>
            <w:r>
              <w:rPr>
                <w:rFonts w:ascii="宋体" w:eastAsia="宋体" w:cs="宋体"/>
                <w:sz w:val="22"/>
              </w:rPr>
              <w:t>目标2：根据工作需求，购买口岸监管查验设备或服务，提升海关口岸监管水平。</w:t>
            </w:r>
          </w:p>
        </w:tc>
      </w:tr>
      <w:tr>
        <w:trPr>
          <w:trHeight w:val="632"/>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15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9"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15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验放邮递物品</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≥120万件</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保障关区监管现场</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3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15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保障口岸监管工作用犬数量</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3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15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监管工作犬年度初训/复训率</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9"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15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辅助海关宣传</w:t>
            </w:r>
          </w:p>
        </w:tc>
        <w:tc>
          <w:tcPr>
            <w:tcW w:w="19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&gt;1次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160"/>
        <w:gridCol w:w="2100"/>
        <w:gridCol w:w="1843"/>
        <w:gridCol w:w="1200"/>
      </w:tblGrid>
      <w:tr>
        <w:trPr>
          <w:trHeight w:val="607"/>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3"/>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中华人民共和国青白江海关</w:t>
            </w:r>
          </w:p>
        </w:tc>
      </w:tr>
      <w:tr>
        <w:trPr>
          <w:trHeight w:val="303"/>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30.00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30.00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1"/>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目标1：通过实验室检测或委托第三方检测，完成法定检测任务，履职检验检疫职责；                                                         </w:t>
            </w:r>
          </w:p>
          <w:p>
            <w:pPr>
              <w:rPr>
                <w:rFonts w:ascii="宋体" w:eastAsia="宋体" w:cs="宋体"/>
                <w:sz w:val="22"/>
              </w:rPr>
            </w:pPr>
            <w:r>
              <w:rPr>
                <w:rFonts w:ascii="宋体" w:eastAsia="宋体" w:cs="宋体"/>
                <w:sz w:val="22"/>
              </w:rPr>
              <w:t>目标2：推动技术性贸易壁垒的深入研究，遏制国外不合格的商品及产品流入国内，促进辖区对外贸易的顺利发展；</w:t>
            </w:r>
          </w:p>
          <w:p>
            <w:pPr>
              <w:rPr>
                <w:rFonts w:ascii="宋体" w:eastAsia="宋体" w:cs="宋体"/>
                <w:sz w:val="22"/>
              </w:rPr>
            </w:pPr>
            <w:r>
              <w:rPr>
                <w:rFonts w:ascii="宋体" w:eastAsia="宋体" w:cs="宋体"/>
                <w:sz w:val="22"/>
              </w:rPr>
              <w:t>目标3：执法形象、执法能力、群众满意度持续提升；</w:t>
            </w:r>
          </w:p>
        </w:tc>
      </w:tr>
      <w:tr>
        <w:trPr>
          <w:trHeight w:val="607"/>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5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保障业务现场数量（个）</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委托第三方机构开展专业检测数量</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≥1家</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检测项目达标率</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检测项目按期完成率</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参与对外交流，提升业务开展能力</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0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服务企业对检验检疫满意度</w:t>
            </w:r>
          </w:p>
        </w:tc>
        <w:tc>
          <w:tcPr>
            <w:tcW w:w="184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265"/>
        <w:gridCol w:w="2310"/>
        <w:gridCol w:w="1528"/>
        <w:gridCol w:w="1200"/>
      </w:tblGrid>
      <w:tr>
        <w:trPr>
          <w:trHeight w:val="620"/>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进出口商品质量安全检验监管专项项目绩效目标表</w:t>
            </w:r>
          </w:p>
        </w:tc>
      </w:tr>
      <w:tr>
        <w:trPr>
          <w:trHeight w:val="310"/>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进出口商品质量安全检验监管专项</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72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中华人民共和国锦城海关</w:t>
            </w:r>
          </w:p>
        </w:tc>
      </w:tr>
      <w:tr>
        <w:trPr>
          <w:trHeight w:val="31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1"/>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 xml:space="preserve">     通过对风险监测点建设、重点商品风险监测等，保障锦城海关履行进出口商品检验监管职能，基于风险评估结果深化商检业务改革，促进跨境贸易便利化水平有效提升，有力增强人民群众获得感。</w:t>
            </w:r>
          </w:p>
        </w:tc>
      </w:tr>
      <w:tr>
        <w:trPr>
          <w:trHeight w:val="620"/>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575"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57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进出口法检商品检验批次数量</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≥200批次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57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风险监测获取的有效信息数量</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57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进出口危险化学品及包装实施检验率</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1861"/>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57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发生因海关检验原因导致的进口消费类商品危害人民群众生命健康行业性、系统性、区域性重大质量安全事故（次）</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2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57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监督抽检人员满意度</w:t>
            </w:r>
          </w:p>
        </w:tc>
        <w:tc>
          <w:tcPr>
            <w:tcW w:w="152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265"/>
        <w:gridCol w:w="1995"/>
        <w:gridCol w:w="1843"/>
        <w:gridCol w:w="1200"/>
      </w:tblGrid>
      <w:tr>
        <w:trPr>
          <w:trHeight w:val="605"/>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02"/>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2"/>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02"/>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中华人民共和国锦城海关</w:t>
            </w:r>
          </w:p>
        </w:tc>
      </w:tr>
      <w:tr>
        <w:trPr>
          <w:trHeight w:val="302"/>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113.00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2"/>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113.00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2"/>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2"/>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15"/>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目标1：保障锦城关区行政执法、风险管理等各项业务日常经费需求,保障海关行政执法能力和执法水平；</w:t>
            </w:r>
          </w:p>
          <w:p>
            <w:pPr>
              <w:rPr>
                <w:rFonts w:ascii="宋体" w:eastAsia="宋体" w:cs="宋体"/>
                <w:sz w:val="22"/>
              </w:rPr>
            </w:pPr>
            <w:r>
              <w:rPr>
                <w:rFonts w:ascii="宋体" w:eastAsia="宋体" w:cs="宋体"/>
                <w:sz w:val="22"/>
              </w:rPr>
              <w:t>目标2：保障锦城关区行政执法技术支持的能力储备和其他支出需求。</w:t>
            </w:r>
          </w:p>
        </w:tc>
      </w:tr>
      <w:tr>
        <w:trPr>
          <w:trHeight w:val="605"/>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59"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公车购置成本</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≤180000.00元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≥10.00辆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购置车辆数量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后勤辅助人员数量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≥90.00%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259"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≥90.00%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265"/>
        <w:gridCol w:w="2100"/>
        <w:gridCol w:w="1738"/>
        <w:gridCol w:w="1200"/>
      </w:tblGrid>
      <w:tr>
        <w:trPr>
          <w:trHeight w:val="620"/>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10"/>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1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中华人民共和国广安海关</w:t>
            </w:r>
          </w:p>
        </w:tc>
      </w:tr>
      <w:tr>
        <w:trPr>
          <w:trHeight w:val="31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22.00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22.00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0"/>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61"/>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目标1：保障广安关区行政执法、风险管理等各项业务日常经费需求，保障广安海关行政执法能力和执法水平；</w:t>
            </w:r>
          </w:p>
          <w:p>
            <w:pPr>
              <w:rPr>
                <w:rFonts w:ascii="宋体" w:eastAsia="宋体" w:cs="宋体"/>
                <w:sz w:val="22"/>
              </w:rPr>
            </w:pPr>
            <w:r>
              <w:rPr>
                <w:rFonts w:ascii="宋体" w:eastAsia="宋体" w:cs="宋体"/>
                <w:sz w:val="22"/>
              </w:rPr>
              <w:t>目标2：保障广安关区行政执法技术支持的能力储备和其他支出需求。</w:t>
            </w:r>
          </w:p>
        </w:tc>
      </w:tr>
      <w:tr>
        <w:trPr>
          <w:trHeight w:val="620"/>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6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公车运维数量</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公车可用率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执法人员持证上岗率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1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6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海关业务工作保障率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370"/>
        <w:gridCol w:w="2100"/>
        <w:gridCol w:w="1633"/>
        <w:gridCol w:w="1200"/>
      </w:tblGrid>
      <w:tr>
        <w:trPr>
          <w:trHeight w:val="619"/>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海关资产及专用设备运行维护费项目绩效目标表</w:t>
            </w:r>
          </w:p>
        </w:tc>
      </w:tr>
      <w:tr>
        <w:trPr>
          <w:trHeight w:val="309"/>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海关资产及专用设备运行维护费</w:t>
            </w:r>
          </w:p>
        </w:tc>
      </w:tr>
      <w:tr>
        <w:trPr>
          <w:trHeight w:val="309"/>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8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中华人民共和国广安海关</w:t>
            </w:r>
          </w:p>
        </w:tc>
      </w:tr>
      <w:tr>
        <w:trPr>
          <w:trHeight w:val="309"/>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9"/>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8"/>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各类装备、设备的运维，提高海关监管工作效率，缓解海关人力资源不足与日益增长的监管工作量之间的矛盾，以及对大楼的日常维护、检查，节能改造，保障海关业务综合用房正常运转，为员工提供安全高效后勤保障。</w:t>
            </w:r>
          </w:p>
        </w:tc>
      </w:tr>
      <w:tr>
        <w:trPr>
          <w:trHeight w:val="619"/>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47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47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运维设备数量（台/套）</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47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设备正常使用率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47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维修及时率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47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设备有效利用率</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r>
        <w:trPr>
          <w:trHeight w:val="619"/>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47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关警员满意度</w:t>
            </w:r>
          </w:p>
        </w:tc>
        <w:tc>
          <w:tcPr>
            <w:tcW w:w="163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265"/>
        <w:gridCol w:w="2625"/>
        <w:gridCol w:w="1213"/>
        <w:gridCol w:w="1200"/>
      </w:tblGrid>
      <w:tr>
        <w:trPr>
          <w:trHeight w:val="626"/>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海关业务保障及能力提升专项项目绩效目标表</w:t>
            </w:r>
          </w:p>
        </w:tc>
      </w:tr>
      <w:tr>
        <w:trPr>
          <w:trHeight w:val="313"/>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海关业务保障及能力提升专项</w:t>
            </w:r>
          </w:p>
        </w:tc>
      </w:tr>
      <w:tr>
        <w:trPr>
          <w:trHeight w:val="31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62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41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成都海关后勤管理中心</w:t>
            </w:r>
          </w:p>
        </w:tc>
      </w:tr>
      <w:tr>
        <w:trPr>
          <w:trHeight w:val="313"/>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3"/>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3"/>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79"/>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目标1：完成公务用车日常保养，为执法执勤提供保障；目标2：保证临时聘用人员工资水平，继续为海关后勤提供优质服务。</w:t>
            </w:r>
          </w:p>
        </w:tc>
      </w:tr>
      <w:tr>
        <w:trPr>
          <w:trHeight w:val="626"/>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89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1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89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保障关警员人数</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≥400人</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4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9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保障执法执勤用车数</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≥30辆</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62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89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聘用人员专业水平达标率</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4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89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设施设备正常运转率</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89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保障海关工作正常运转比率</w:t>
            </w:r>
          </w:p>
        </w:tc>
        <w:tc>
          <w:tcPr>
            <w:tcW w:w="121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265"/>
        <w:gridCol w:w="1995"/>
        <w:gridCol w:w="1843"/>
        <w:gridCol w:w="1200"/>
      </w:tblGrid>
      <w:tr>
        <w:trPr>
          <w:trHeight w:val="617"/>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海关仪器设备购置及能力保障专项项目绩效目标表</w:t>
            </w:r>
          </w:p>
        </w:tc>
      </w:tr>
      <w:tr>
        <w:trPr>
          <w:trHeight w:val="308"/>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海关仪器设备购置及能力保障专项</w:t>
            </w:r>
          </w:p>
        </w:tc>
      </w:tr>
      <w:tr>
        <w:trPr>
          <w:trHeight w:val="617"/>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9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四川国际旅行卫生保健中心（成都海关口岸门诊部）</w:t>
            </w:r>
          </w:p>
        </w:tc>
      </w:tr>
      <w:tr>
        <w:trPr>
          <w:trHeight w:val="308"/>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98.00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98.00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8"/>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2"/>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p>
          <w:p>
            <w:pPr>
              <w:rPr>
                <w:rFonts w:ascii="宋体" w:eastAsia="宋体" w:cs="宋体"/>
                <w:sz w:val="22"/>
              </w:rPr>
            </w:pPr>
            <w:r>
              <w:rPr>
                <w:rFonts w:ascii="宋体" w:eastAsia="宋体" w:cs="宋体"/>
                <w:sz w:val="22"/>
              </w:rPr>
              <w:t>通过购置全自动血细胞分析仪设备，更新老化的设备，提升实验室传染病监测检测等能力。</w:t>
            </w:r>
          </w:p>
        </w:tc>
      </w:tr>
      <w:tr>
        <w:trPr>
          <w:trHeight w:val="617"/>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6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1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全自动血细胞分析仪采购单价</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≤65万元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购置海关实验室仪器设备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仪器设备运维</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仪器设备验收合格率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仪器设备维修验收完成率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仪器设备验收及时率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法检自检率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7"/>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160"/>
        <w:gridCol w:w="2100"/>
        <w:gridCol w:w="1843"/>
        <w:gridCol w:w="1200"/>
      </w:tblGrid>
      <w:tr>
        <w:trPr>
          <w:trHeight w:val="628"/>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海关法检业务工作专项项目绩效目标表</w:t>
            </w:r>
          </w:p>
        </w:tc>
      </w:tr>
      <w:tr>
        <w:trPr>
          <w:trHeight w:val="314"/>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14"/>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628"/>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四川国际旅行卫生保健中心（成都海关口岸门诊部）</w:t>
            </w:r>
          </w:p>
        </w:tc>
      </w:tr>
      <w:tr>
        <w:trPr>
          <w:trHeight w:val="314"/>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600.00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14"/>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600.00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4"/>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14"/>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0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9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86"/>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1.通过开展卫生、食品等法检工作，持续加强检验检疫监管能力，筑牢国门生物安全屏障，提升口岸疫病防控能力。</w:t>
            </w:r>
          </w:p>
          <w:p>
            <w:pPr>
              <w:rPr>
                <w:rFonts w:ascii="宋体" w:eastAsia="宋体" w:cs="宋体"/>
                <w:sz w:val="22"/>
              </w:rPr>
            </w:pPr>
            <w:r>
              <w:rPr>
                <w:rFonts w:ascii="宋体" w:eastAsia="宋体" w:cs="宋体"/>
                <w:sz w:val="22"/>
              </w:rPr>
              <w:t>2.通过对法检实验室进行运维，保障实验室的检验检疫业务正常开展，促进实验室持续高质量运转。</w:t>
            </w:r>
          </w:p>
          <w:p>
            <w:pPr>
              <w:rPr>
                <w:rFonts w:ascii="宋体" w:eastAsia="宋体" w:cs="宋体"/>
                <w:sz w:val="22"/>
              </w:rPr>
            </w:pPr>
          </w:p>
        </w:tc>
      </w:tr>
      <w:tr>
        <w:trPr>
          <w:trHeight w:val="628"/>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6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2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试剂耗材购置数量（批次）</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≥4批次</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运维实验室数量（个）</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保障外聘人员数量</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≥17人</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2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实验室资质审核通过率（%）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4"/>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法检自检率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28"/>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发生重大检验检疫安全事故</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≤1起</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4"/>
        <w:gridCol w:w="204"/>
        <w:gridCol w:w="2100"/>
        <w:gridCol w:w="1751"/>
        <w:gridCol w:w="1187"/>
      </w:tblGrid>
      <w:tr>
        <w:trPr>
          <w:trHeight w:val="618"/>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海关实验室仪器设备更新项目（海关）项目绩效目标表</w:t>
            </w:r>
          </w:p>
        </w:tc>
      </w:tr>
      <w:tr>
        <w:trPr>
          <w:trHeight w:val="309"/>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9"/>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海关实验室仪器设备更新项目（海关）</w:t>
            </w:r>
          </w:p>
        </w:tc>
      </w:tr>
      <w:tr>
        <w:trPr>
          <w:trHeight w:val="618"/>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四川国际旅行卫生保健中心（成都海关口岸门诊部）</w:t>
            </w:r>
          </w:p>
        </w:tc>
      </w:tr>
      <w:tr>
        <w:trPr>
          <w:trHeight w:val="309"/>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13.50</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13.50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9"/>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54"/>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购置全自动核酸提取纯化及实时荧光PCR分析系统、荧光定量PCR仪，全自动生化分析仪、全自动尿液分析仪等设备，及时更新老化的设备，提升实验室传染病监测、检测等能力。提高工作效率，提高检测的灵敏度和特异性，提升四川口岸综合服务能力，有效保障四川口岸公共卫生安全。</w:t>
            </w:r>
          </w:p>
        </w:tc>
      </w:tr>
      <w:tr>
        <w:trPr>
          <w:trHeight w:val="618"/>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0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成本指标</w:t>
            </w:r>
          </w:p>
        </w:tc>
        <w:tc>
          <w:tcPr>
            <w:tcW w:w="202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经济成本指标</w:t>
            </w: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荧光定量PCR仪1台购置成本</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≤48.00万元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2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全自动核酸提取纯化及实时荧光PCR分析系统2台购置成本</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≤240.00万元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全自动生化分析仪1台购置成本</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≤150.00万元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全自动尿液分析仪2台购置成本</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≤61.00万元</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9"/>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仪器设备购置数量</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≥6.00台（套）</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仪器设备验收合格率（%）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≥95.00%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仪器设备验收及时率（%）</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≥95.00%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0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设备检测样本数量/年</w:t>
            </w:r>
          </w:p>
        </w:tc>
        <w:tc>
          <w:tcPr>
            <w:tcW w:w="175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≥20000.00人次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30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4"/>
        <w:gridCol w:w="204"/>
        <w:gridCol w:w="1890"/>
        <w:gridCol w:w="1961"/>
        <w:gridCol w:w="1187"/>
      </w:tblGrid>
      <w:tr>
        <w:trPr>
          <w:trHeight w:val="606"/>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成都海关技术中心实验室改造项目绩效目标表</w:t>
            </w:r>
          </w:p>
        </w:tc>
      </w:tr>
      <w:tr>
        <w:trPr>
          <w:trHeight w:val="303"/>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3"/>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成都海关技术中心实验室改造</w:t>
            </w:r>
          </w:p>
        </w:tc>
      </w:tr>
      <w:tr>
        <w:trPr>
          <w:trHeight w:val="303"/>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14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成都海关技术中心</w:t>
            </w:r>
          </w:p>
        </w:tc>
      </w:tr>
      <w:tr>
        <w:trPr>
          <w:trHeight w:val="303"/>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251.28</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3"/>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247.00</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3"/>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4.28</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3"/>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22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51"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2123"/>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在建设资金能按工程进度计划及时到位的前提下，各项工程内容在合理工期所需的基础上，加强优化施工组织，多方面实行交叉作业。2024年11月项目已开工，具体建设进度如下，2025年1-8月进行安装工程，8月底竣工，9-10月工程验收。项目预期能够提升实验效率与质量，优化空间布局，更新设备，引入信息化管理，提高实验准确性和数据处理效率；增强科研能力，吸引优秀人才，促进科研项目开展；降低运营成本，采用节能设备，减少能源消耗和维护费用，提高资源利用率；提升安全与环保水平，完善安全防护措施，降低事故风险，减少环境污染；拓展业务与社会服务，扩大业务范围，提升社会服务能力。</w:t>
            </w:r>
          </w:p>
        </w:tc>
      </w:tr>
      <w:tr>
        <w:trPr>
          <w:trHeight w:val="606"/>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09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工程建设单位成本</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≤0.12万元/平米</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保障基建项目数量</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年度改造面积</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≥2000平方米</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工程验收合格率</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按期开工率</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910"/>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提升实验室检测通量，增强实验室对社会的贡献能力</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r>
        <w:trPr>
          <w:trHeight w:val="30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生态效益指标</w:t>
            </w:r>
          </w:p>
        </w:tc>
        <w:tc>
          <w:tcPr>
            <w:tcW w:w="209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环境标准达标率</w:t>
            </w:r>
          </w:p>
        </w:tc>
        <w:tc>
          <w:tcPr>
            <w:tcW w:w="196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≥80%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15</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2"/>
        <w:gridCol w:w="2048"/>
        <w:gridCol w:w="370"/>
        <w:gridCol w:w="1890"/>
        <w:gridCol w:w="1843"/>
        <w:gridCol w:w="1200"/>
      </w:tblGrid>
      <w:tr>
        <w:trPr>
          <w:trHeight w:val="612"/>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海关仪器设备购置及能力保障专项项目绩效目标表</w:t>
            </w:r>
          </w:p>
        </w:tc>
      </w:tr>
      <w:tr>
        <w:trPr>
          <w:trHeight w:val="306"/>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6"/>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海关仪器设备购置及能力保障专项</w:t>
            </w:r>
          </w:p>
        </w:tc>
      </w:tr>
      <w:tr>
        <w:trPr>
          <w:trHeight w:val="420"/>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189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30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成都海关技术中心</w:t>
            </w:r>
          </w:p>
        </w:tc>
      </w:tr>
      <w:tr>
        <w:trPr>
          <w:trHeight w:val="480"/>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202.00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480"/>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202.00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6"/>
        </w:trPr>
        <w:tc>
          <w:tcPr>
            <w:tcW w:w="1763" w:type="dxa"/>
            <w:gridSpan w:val="2"/>
            <w:vMerge/>
            <w:tcBorders>
              <w:top w:val="nil"/>
              <w:left w:val="single" w:sz="6" w:space="0" w:color="auto"/>
              <w:bottom w:val="nil"/>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6"/>
        </w:trPr>
        <w:tc>
          <w:tcPr>
            <w:tcW w:w="1763"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418"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3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36"/>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p>
          <w:p>
            <w:pPr>
              <w:rPr>
                <w:rFonts w:ascii="宋体" w:eastAsia="宋体" w:cs="宋体"/>
                <w:sz w:val="22"/>
              </w:rPr>
            </w:pPr>
            <w:r>
              <w:rPr>
                <w:rFonts w:ascii="宋体" w:eastAsia="宋体" w:cs="宋体"/>
                <w:sz w:val="22"/>
              </w:rPr>
              <w:t>通过购置超级微波消解仪、液相色谱仪、紫外分光光度计、凯氏定氮仪等设备，更新老化的检测设备，提升实验室食品检测能力和化学品鉴别能力。</w:t>
            </w:r>
          </w:p>
        </w:tc>
      </w:tr>
      <w:tr>
        <w:trPr>
          <w:trHeight w:val="612"/>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26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48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成本指标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经济成本指标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仪器设备购置成本</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≤99万元</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6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购置海关实验室仪器设备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78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维修维护海关实验室仪器设备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≥30台/套</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48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仪器设备验收合格率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6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仪器设备采购计划完成率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78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仪器设备维修维护验收完成率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540"/>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仪器设备验收及时率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法检自检率</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2"/>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满意度</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服务对象</w:t>
            </w:r>
          </w:p>
          <w:p>
            <w:pPr>
              <w:jc w:val="center"/>
              <w:rPr>
                <w:rFonts w:ascii="宋体" w:eastAsia="宋体"/>
                <w:sz w:val="22"/>
              </w:rPr>
            </w:pPr>
            <w:r>
              <w:rPr>
                <w:rFonts w:ascii="宋体" w:eastAsia="宋体"/>
                <w:sz w:val="22"/>
              </w:rPr>
              <w:t>满意度指标</w:t>
            </w:r>
          </w:p>
        </w:tc>
        <w:tc>
          <w:tcPr>
            <w:tcW w:w="226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设备使用人员满意度</w:t>
            </w:r>
          </w:p>
        </w:tc>
        <w:tc>
          <w:tcPr>
            <w:tcW w:w="18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1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1"/>
        <w:gridCol w:w="1203"/>
        <w:gridCol w:w="2048"/>
        <w:gridCol w:w="265"/>
        <w:gridCol w:w="2100"/>
        <w:gridCol w:w="1738"/>
        <w:gridCol w:w="1200"/>
      </w:tblGrid>
      <w:tr>
        <w:trPr>
          <w:trHeight w:val="606"/>
        </w:trPr>
        <w:tc>
          <w:tcPr>
            <w:tcW w:w="9114"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智慧海关建设与科技赋能保障专项项目绩效目标表</w:t>
            </w:r>
          </w:p>
        </w:tc>
      </w:tr>
      <w:tr>
        <w:trPr>
          <w:trHeight w:val="303"/>
        </w:trPr>
        <w:tc>
          <w:tcPr>
            <w:tcW w:w="9114"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351"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智慧海关建设与科技赋能保障专项</w:t>
            </w:r>
          </w:p>
        </w:tc>
      </w:tr>
      <w:tr>
        <w:trPr>
          <w:trHeight w:val="303"/>
        </w:trPr>
        <w:tc>
          <w:tcPr>
            <w:tcW w:w="176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1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9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成都海关技术中心</w:t>
            </w:r>
          </w:p>
        </w:tc>
      </w:tr>
      <w:tr>
        <w:trPr>
          <w:trHeight w:val="303"/>
        </w:trPr>
        <w:tc>
          <w:tcPr>
            <w:tcW w:w="176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57.00</w:t>
            </w:r>
          </w:p>
        </w:tc>
        <w:tc>
          <w:tcPr>
            <w:tcW w:w="1200"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3"/>
        </w:trPr>
        <w:tc>
          <w:tcPr>
            <w:tcW w:w="1764"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57.00</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4" w:type="dxa"/>
            <w:gridSpan w:val="2"/>
            <w:vMerge/>
            <w:tcBorders>
              <w:top w:val="nil"/>
              <w:left w:val="single" w:sz="6" w:space="0" w:color="auto"/>
              <w:bottom w:val="nil"/>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nil"/>
              <w:right w:val="single" w:sz="6" w:space="0" w:color="auto"/>
              <w:tl2br w:val="nil"/>
              <w:tr2bl w:val="nil"/>
            </w:tcBorders>
            <w:noWrap/>
            <w:vAlign w:val="center"/>
          </w:tcPr>
          <w:p/>
        </w:tc>
      </w:tr>
      <w:tr>
        <w:trPr>
          <w:trHeight w:val="303"/>
        </w:trPr>
        <w:tc>
          <w:tcPr>
            <w:tcW w:w="1764"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1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83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200" w:type="dxa"/>
            <w:vMerge/>
            <w:tcBorders>
              <w:top w:val="nil"/>
              <w:left w:val="single" w:sz="6" w:space="0" w:color="auto"/>
              <w:bottom w:val="single" w:sz="6" w:space="0" w:color="auto"/>
              <w:right w:val="single" w:sz="6" w:space="0" w:color="auto"/>
              <w:tl2br w:val="nil"/>
              <w:tr2bl w:val="nil"/>
            </w:tcBorders>
            <w:noWrap/>
            <w:vAlign w:val="center"/>
          </w:tcPr>
          <w:p/>
        </w:tc>
      </w:tr>
      <w:tr>
        <w:trPr>
          <w:trHeight w:val="1820"/>
        </w:trPr>
        <w:tc>
          <w:tcPr>
            <w:tcW w:w="561"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554"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通过承担总署科研项目，开展基础性技术研究、实用性技术研究和软科学研究，研发新的技术方法、技术标准，提升科技创新能力，提高监管效能。</w:t>
            </w:r>
          </w:p>
        </w:tc>
      </w:tr>
      <w:tr>
        <w:trPr>
          <w:trHeight w:val="606"/>
        </w:trPr>
        <w:tc>
          <w:tcPr>
            <w:tcW w:w="561"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2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365"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3"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数量指标</w:t>
            </w:r>
          </w:p>
        </w:tc>
        <w:tc>
          <w:tcPr>
            <w:tcW w:w="236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发表论文（篇）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≥1篇</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质量指标</w:t>
            </w:r>
          </w:p>
        </w:tc>
        <w:tc>
          <w:tcPr>
            <w:tcW w:w="236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科研项目验收合格率</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303"/>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3"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时效指标</w:t>
            </w:r>
          </w:p>
        </w:tc>
        <w:tc>
          <w:tcPr>
            <w:tcW w:w="236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科研结题时间</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≤2年</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606"/>
        </w:trPr>
        <w:tc>
          <w:tcPr>
            <w:tcW w:w="561" w:type="dxa"/>
            <w:vMerge/>
            <w:tcBorders>
              <w:top w:val="nil"/>
              <w:left w:val="single" w:sz="6" w:space="0" w:color="auto"/>
              <w:bottom w:val="single" w:sz="6" w:space="0" w:color="auto"/>
              <w:right w:val="single" w:sz="6" w:space="0" w:color="auto"/>
              <w:tl2br w:val="nil"/>
              <w:tr2bl w:val="nil"/>
            </w:tcBorders>
            <w:noWrap/>
            <w:vAlign w:val="center"/>
          </w:tcPr>
          <w:p/>
        </w:tc>
        <w:tc>
          <w:tcPr>
            <w:tcW w:w="120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效益指标</w:t>
            </w:r>
          </w:p>
        </w:tc>
        <w:tc>
          <w:tcPr>
            <w:tcW w:w="204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社会效益指标</w:t>
            </w:r>
          </w:p>
        </w:tc>
        <w:tc>
          <w:tcPr>
            <w:tcW w:w="2365"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完成技术指南和工作指导书</w:t>
            </w:r>
          </w:p>
        </w:tc>
        <w:tc>
          <w:tcPr>
            <w:tcW w:w="1738"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≤4个</w:t>
            </w:r>
          </w:p>
        </w:tc>
        <w:tc>
          <w:tcPr>
            <w:tcW w:w="1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40</w:t>
            </w:r>
          </w:p>
        </w:tc>
      </w:tr>
    </w:tbl>
    <w:p>
      <w:pPr>
        <w:keepNext w:val="0"/>
        <w:widowControl w:val="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W w:w="90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6"/>
        <w:gridCol w:w="1187"/>
        <w:gridCol w:w="2024"/>
        <w:gridCol w:w="309"/>
        <w:gridCol w:w="2415"/>
        <w:gridCol w:w="1331"/>
        <w:gridCol w:w="1187"/>
      </w:tblGrid>
      <w:tr>
        <w:trPr>
          <w:trHeight w:val="615"/>
        </w:trPr>
        <w:tc>
          <w:tcPr>
            <w:tcW w:w="9009" w:type="dxa"/>
            <w:gridSpan w:val="7"/>
            <w:tcBorders>
              <w:top w:val="nil"/>
              <w:left w:val="nil"/>
              <w:bottom w:val="nil"/>
              <w:right w:val="nil"/>
              <w:tl2br w:val="nil"/>
              <w:tr2bl w:val="nil"/>
            </w:tcBorders>
            <w:noWrap/>
            <w:vAlign w:val="center"/>
          </w:tcPr>
          <w:p>
            <w:pPr>
              <w:jc w:val="center"/>
              <w:rPr>
                <w:rFonts w:ascii="黑体" w:eastAsia="黑体" w:cs="宋体"/>
                <w:sz w:val="32"/>
              </w:rPr>
            </w:pPr>
            <w:r>
              <w:rPr>
                <w:rFonts w:ascii="黑体" w:eastAsia="黑体" w:cs="宋体"/>
                <w:sz w:val="32"/>
              </w:rPr>
              <w:t>海关法检业务工作专项项目绩效目标表</w:t>
            </w:r>
          </w:p>
        </w:tc>
      </w:tr>
      <w:tr>
        <w:trPr>
          <w:trHeight w:val="307"/>
        </w:trPr>
        <w:tc>
          <w:tcPr>
            <w:tcW w:w="9009" w:type="dxa"/>
            <w:gridSpan w:val="7"/>
            <w:tcBorders>
              <w:top w:val="nil"/>
              <w:left w:val="nil"/>
              <w:bottom w:val="nil"/>
              <w:right w:val="nil"/>
              <w:tl2br w:val="nil"/>
              <w:tr2bl w:val="nil"/>
            </w:tcBorders>
            <w:noWrap/>
          </w:tcPr>
          <w:p>
            <w:pPr>
              <w:jc w:val="center"/>
              <w:rPr>
                <w:rFonts w:ascii="宋体" w:eastAsia="宋体" w:cs="宋体"/>
                <w:sz w:val="24"/>
              </w:rPr>
            </w:pPr>
            <w:r>
              <w:rPr>
                <w:rFonts w:ascii="宋体" w:eastAsia="宋体" w:cs="宋体"/>
                <w:sz w:val="24"/>
              </w:rPr>
              <w:t>（2025年度）</w:t>
            </w:r>
          </w:p>
        </w:tc>
      </w:tr>
      <w:tr>
        <w:trPr>
          <w:trHeight w:val="307"/>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项目名称</w:t>
            </w:r>
          </w:p>
        </w:tc>
        <w:tc>
          <w:tcPr>
            <w:tcW w:w="726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海关法检业务工作专项</w:t>
            </w:r>
          </w:p>
        </w:tc>
      </w:tr>
      <w:tr>
        <w:trPr>
          <w:trHeight w:val="307"/>
        </w:trPr>
        <w:tc>
          <w:tcPr>
            <w:tcW w:w="1743"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主管部门及代码</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[167]海关总署</w:t>
            </w:r>
          </w:p>
        </w:tc>
        <w:tc>
          <w:tcPr>
            <w:tcW w:w="241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实施单位</w:t>
            </w:r>
          </w:p>
        </w:tc>
        <w:tc>
          <w:tcPr>
            <w:tcW w:w="2518"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成都海关技术中心</w:t>
            </w:r>
          </w:p>
        </w:tc>
      </w:tr>
      <w:tr>
        <w:trPr>
          <w:trHeight w:val="307"/>
        </w:trPr>
        <w:tc>
          <w:tcPr>
            <w:tcW w:w="1743"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项目资金</w:t>
            </w:r>
          </w:p>
          <w:p>
            <w:pPr>
              <w:jc w:val="center"/>
              <w:rPr>
                <w:rFonts w:ascii="宋体" w:eastAsia="宋体" w:cs="宋体"/>
                <w:sz w:val="22"/>
              </w:rPr>
            </w:pPr>
            <w:r>
              <w:rPr>
                <w:rFonts w:ascii="宋体" w:eastAsia="宋体" w:cs="宋体"/>
                <w:sz w:val="22"/>
              </w:rPr>
              <w:t>（万元）</w:t>
            </w: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 xml:space="preserve"> 年度资金总额：</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1,501.89</w:t>
            </w:r>
          </w:p>
        </w:tc>
        <w:tc>
          <w:tcPr>
            <w:tcW w:w="11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2"/>
              </w:rPr>
            </w:pPr>
            <w:r>
              <w:rPr>
                <w:rFonts w:ascii="宋体" w:eastAsia="宋体" w:cs="宋体"/>
                <w:sz w:val="22"/>
              </w:rPr>
              <w:t>执行率</w:t>
            </w:r>
          </w:p>
          <w:p>
            <w:pPr>
              <w:jc w:val="center"/>
              <w:rPr>
                <w:rFonts w:ascii="宋体" w:eastAsia="宋体" w:cs="宋体"/>
                <w:sz w:val="22"/>
              </w:rPr>
            </w:pPr>
            <w:r>
              <w:rPr>
                <w:rFonts w:ascii="宋体" w:eastAsia="宋体" w:cs="宋体"/>
                <w:sz w:val="22"/>
              </w:rPr>
              <w:t>分值</w:t>
            </w:r>
          </w:p>
          <w:p>
            <w:pPr>
              <w:jc w:val="center"/>
              <w:rPr>
                <w:rFonts w:ascii="宋体" w:eastAsia="宋体" w:cs="宋体"/>
                <w:sz w:val="22"/>
              </w:rPr>
            </w:pPr>
            <w:r>
              <w:rPr>
                <w:rFonts w:ascii="宋体" w:eastAsia="宋体" w:cs="宋体"/>
                <w:sz w:val="22"/>
              </w:rPr>
              <w:t>（10）</w:t>
            </w:r>
          </w:p>
        </w:tc>
      </w:tr>
      <w:tr>
        <w:trPr>
          <w:trHeight w:val="307"/>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其中：财政拨款</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1,501.89</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7"/>
        </w:trPr>
        <w:tc>
          <w:tcPr>
            <w:tcW w:w="1742" w:type="dxa"/>
            <w:gridSpan w:val="2"/>
            <w:vMerge/>
            <w:tcBorders>
              <w:top w:val="nil"/>
              <w:left w:val="single" w:sz="6" w:space="0" w:color="auto"/>
              <w:bottom w:val="nil"/>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上年结转</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nil"/>
              <w:right w:val="single" w:sz="6" w:space="0" w:color="auto"/>
              <w:tl2br w:val="nil"/>
              <w:tr2bl w:val="nil"/>
            </w:tcBorders>
            <w:noWrap/>
            <w:vAlign w:val="center"/>
          </w:tcPr>
          <w:p/>
        </w:tc>
      </w:tr>
      <w:tr>
        <w:trPr>
          <w:trHeight w:val="307"/>
        </w:trPr>
        <w:tc>
          <w:tcPr>
            <w:tcW w:w="1742"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333"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2"/>
              </w:rPr>
            </w:pPr>
            <w:r>
              <w:rPr>
                <w:rFonts w:ascii="宋体" w:eastAsia="宋体" w:cs="宋体"/>
                <w:sz w:val="22"/>
              </w:rPr>
              <w:t xml:space="preserve">          其他资金</w:t>
            </w:r>
          </w:p>
        </w:tc>
        <w:tc>
          <w:tcPr>
            <w:tcW w:w="3746"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2"/>
              </w:rPr>
            </w:pPr>
            <w:r>
              <w:rPr>
                <w:rFonts w:ascii="宋体" w:eastAsia="宋体" w:cs="宋体"/>
                <w:sz w:val="22"/>
              </w:rPr>
              <w:t>-</w:t>
            </w:r>
          </w:p>
        </w:tc>
        <w:tc>
          <w:tcPr>
            <w:tcW w:w="11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847"/>
        </w:trPr>
        <w:tc>
          <w:tcPr>
            <w:tcW w:w="556"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sz w:val="22"/>
              </w:rPr>
            </w:pPr>
            <w:r>
              <w:rPr>
                <w:rFonts w:ascii="宋体" w:eastAsia="宋体"/>
                <w:sz w:val="22"/>
              </w:rPr>
              <w:t>年</w:t>
            </w:r>
          </w:p>
          <w:p>
            <w:pPr>
              <w:jc w:val="center"/>
              <w:rPr>
                <w:rFonts w:ascii="宋体" w:eastAsia="宋体"/>
                <w:sz w:val="22"/>
              </w:rPr>
            </w:pPr>
            <w:r>
              <w:rPr>
                <w:rFonts w:ascii="宋体" w:eastAsia="宋体"/>
                <w:sz w:val="22"/>
              </w:rPr>
              <w:t>度</w:t>
            </w:r>
          </w:p>
          <w:p>
            <w:pPr>
              <w:jc w:val="center"/>
              <w:rPr>
                <w:rFonts w:ascii="宋体" w:eastAsia="宋体"/>
                <w:sz w:val="22"/>
              </w:rPr>
            </w:pPr>
            <w:r>
              <w:rPr>
                <w:rFonts w:ascii="宋体" w:eastAsia="宋体"/>
                <w:sz w:val="22"/>
              </w:rPr>
              <w:t>总</w:t>
            </w:r>
          </w:p>
          <w:p>
            <w:pPr>
              <w:jc w:val="center"/>
              <w:rPr>
                <w:rFonts w:ascii="宋体" w:eastAsia="宋体"/>
                <w:sz w:val="22"/>
              </w:rPr>
            </w:pPr>
            <w:r>
              <w:rPr>
                <w:rFonts w:ascii="宋体" w:eastAsia="宋体"/>
                <w:sz w:val="22"/>
              </w:rPr>
              <w:t>体</w:t>
            </w:r>
          </w:p>
          <w:p>
            <w:pPr>
              <w:jc w:val="center"/>
              <w:rPr>
                <w:rFonts w:ascii="宋体" w:eastAsia="宋体"/>
                <w:sz w:val="22"/>
              </w:rPr>
            </w:pPr>
            <w:r>
              <w:rPr>
                <w:rFonts w:ascii="宋体" w:eastAsia="宋体"/>
                <w:sz w:val="22"/>
              </w:rPr>
              <w:t>目</w:t>
            </w:r>
          </w:p>
          <w:p>
            <w:pPr>
              <w:jc w:val="center"/>
              <w:rPr>
                <w:rFonts w:ascii="宋体" w:eastAsia="宋体"/>
                <w:sz w:val="22"/>
              </w:rPr>
            </w:pPr>
            <w:r>
              <w:rPr>
                <w:rFonts w:ascii="宋体" w:eastAsia="宋体"/>
                <w:sz w:val="22"/>
              </w:rPr>
              <w:t>标</w:t>
            </w:r>
          </w:p>
        </w:tc>
        <w:tc>
          <w:tcPr>
            <w:tcW w:w="8453"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rPr>
            </w:pPr>
            <w:r>
              <w:rPr>
                <w:rFonts w:ascii="宋体" w:eastAsia="宋体" w:cs="宋体"/>
                <w:sz w:val="22"/>
              </w:rPr>
              <w:t>1.通过开展动植物、食品和商品等法检工作，持续加强检验检疫监管能力，筑牢国门生物安全屏障，提升口岸疫病防控能力。</w:t>
            </w:r>
          </w:p>
          <w:p>
            <w:pPr>
              <w:rPr>
                <w:rFonts w:ascii="宋体" w:eastAsia="宋体" w:cs="宋体"/>
                <w:sz w:val="22"/>
              </w:rPr>
            </w:pPr>
            <w:r>
              <w:rPr>
                <w:rFonts w:ascii="宋体" w:eastAsia="宋体" w:cs="宋体"/>
                <w:sz w:val="22"/>
              </w:rPr>
              <w:t>2.通过对海关法检实验室进行运维，保障实验室的检验检疫业务正常开展，促进实验室持续高质量运转。</w:t>
            </w:r>
          </w:p>
        </w:tc>
      </w:tr>
      <w:tr>
        <w:trPr>
          <w:trHeight w:val="615"/>
        </w:trPr>
        <w:tc>
          <w:tcPr>
            <w:tcW w:w="556"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绩</w:t>
            </w:r>
          </w:p>
          <w:p>
            <w:pPr>
              <w:jc w:val="center"/>
              <w:rPr>
                <w:rFonts w:ascii="宋体" w:eastAsia="宋体" w:cs="宋体"/>
                <w:sz w:val="22"/>
              </w:rPr>
            </w:pPr>
            <w:r>
              <w:rPr>
                <w:rFonts w:ascii="宋体" w:eastAsia="宋体" w:cs="宋体"/>
                <w:sz w:val="22"/>
              </w:rPr>
              <w:t>效</w:t>
            </w:r>
          </w:p>
          <w:p>
            <w:pPr>
              <w:jc w:val="center"/>
              <w:rPr>
                <w:rFonts w:ascii="宋体" w:eastAsia="宋体" w:cs="宋体"/>
                <w:sz w:val="22"/>
              </w:rPr>
            </w:pPr>
            <w:r>
              <w:rPr>
                <w:rFonts w:ascii="宋体" w:eastAsia="宋体" w:cs="宋体"/>
                <w:sz w:val="22"/>
              </w:rPr>
              <w:t>指</w:t>
            </w:r>
          </w:p>
          <w:p>
            <w:pPr>
              <w:jc w:val="center"/>
              <w:rPr>
                <w:rFonts w:ascii="宋体" w:eastAsia="宋体" w:cs="宋体"/>
                <w:sz w:val="22"/>
              </w:rPr>
            </w:pPr>
            <w:r>
              <w:rPr>
                <w:rFonts w:ascii="宋体" w:eastAsia="宋体" w:cs="宋体"/>
                <w:sz w:val="22"/>
              </w:rPr>
              <w:t>标</w:t>
            </w:r>
          </w:p>
        </w:tc>
        <w:tc>
          <w:tcPr>
            <w:tcW w:w="1186"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一级</w:t>
            </w:r>
          </w:p>
          <w:p>
            <w:pPr>
              <w:jc w:val="center"/>
              <w:rPr>
                <w:rFonts w:ascii="宋体" w:eastAsia="宋体"/>
                <w:sz w:val="22"/>
              </w:rPr>
            </w:pPr>
            <w:r>
              <w:rPr>
                <w:rFonts w:ascii="宋体" w:eastAsia="宋体"/>
                <w:sz w:val="22"/>
              </w:rPr>
              <w:t>指标</w:t>
            </w:r>
          </w:p>
        </w:tc>
        <w:tc>
          <w:tcPr>
            <w:tcW w:w="202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二级指标</w:t>
            </w:r>
          </w:p>
        </w:tc>
        <w:tc>
          <w:tcPr>
            <w:tcW w:w="2724"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三级指标</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指标值</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分值</w:t>
            </w:r>
          </w:p>
          <w:p>
            <w:pPr>
              <w:jc w:val="center"/>
              <w:rPr>
                <w:rFonts w:ascii="宋体" w:eastAsia="宋体"/>
                <w:sz w:val="22"/>
              </w:rPr>
            </w:pPr>
            <w:r>
              <w:rPr>
                <w:rFonts w:ascii="宋体" w:eastAsia="宋体"/>
                <w:sz w:val="22"/>
              </w:rPr>
              <w:t>（90）</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产出指标</w:t>
            </w:r>
          </w:p>
        </w:tc>
        <w:tc>
          <w:tcPr>
            <w:tcW w:w="202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数量指标</w:t>
            </w: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运维实验室数量</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≥13个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18"/>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实验室资质能力评审次数</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≥2次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10</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开展法检业务数量</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≥55000项</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6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中心开展试剂耗材年度采购次数</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≥1次</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保障外聘人员数量</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≥104人</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质量指标</w:t>
            </w: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试剂耗材验收合格率</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≥98%</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93"/>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实验室资质审核通过率</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≥99%</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法检检测准确率</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≥95%</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5</w:t>
            </w:r>
          </w:p>
        </w:tc>
      </w:tr>
      <w:tr>
        <w:trPr>
          <w:trHeight w:val="307"/>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效益指标</w:t>
            </w:r>
          </w:p>
        </w:tc>
        <w:tc>
          <w:tcPr>
            <w:tcW w:w="2024"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社会效益指标</w:t>
            </w: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法检自检率</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≥90%</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r>
        <w:trPr>
          <w:trHeight w:val="615"/>
        </w:trPr>
        <w:tc>
          <w:tcPr>
            <w:tcW w:w="556" w:type="dxa"/>
            <w:vMerge/>
            <w:tcBorders>
              <w:top w:val="nil"/>
              <w:left w:val="single" w:sz="6" w:space="0" w:color="auto"/>
              <w:bottom w:val="single" w:sz="6" w:space="0" w:color="auto"/>
              <w:right w:val="single" w:sz="6" w:space="0" w:color="auto"/>
              <w:tl2br w:val="nil"/>
              <w:tr2bl w:val="nil"/>
            </w:tcBorders>
            <w:noWrap/>
            <w:vAlign w:val="center"/>
          </w:tcPr>
          <w:p/>
        </w:tc>
        <w:tc>
          <w:tcPr>
            <w:tcW w:w="1186"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024"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24"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rPr>
            </w:pPr>
            <w:r>
              <w:rPr>
                <w:rFonts w:ascii="宋体" w:eastAsia="宋体" w:cs="宋体"/>
                <w:sz w:val="22"/>
              </w:rPr>
              <w:t>实验室通过认定、认可的检测项目</w:t>
            </w:r>
          </w:p>
        </w:tc>
        <w:tc>
          <w:tcPr>
            <w:tcW w:w="1331"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sz w:val="22"/>
              </w:rPr>
            </w:pPr>
            <w:r>
              <w:rPr>
                <w:rFonts w:ascii="宋体" w:eastAsia="宋体"/>
                <w:sz w:val="22"/>
              </w:rPr>
              <w:t>≥300个</w:t>
            </w:r>
          </w:p>
        </w:tc>
        <w:tc>
          <w:tcPr>
            <w:tcW w:w="11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2"/>
              </w:rPr>
            </w:pPr>
            <w:r>
              <w:rPr>
                <w:rFonts w:ascii="宋体" w:eastAsia="宋体" w:cs="宋体"/>
                <w:sz w:val="22"/>
              </w:rPr>
              <w:t>20</w:t>
            </w:r>
          </w:p>
        </w:tc>
      </w:tr>
    </w:tbl>
    <w:p>
      <w:pPr>
        <w:keepNext w:val="0"/>
        <w:widowControl w:val="0"/>
        <w:jc w:val="left"/>
        <w:rPr>
          <w:rFonts w:ascii="Times New Roman" w:eastAsia="方正仿宋_GBK" w:hAnsi="Times New Roman"/>
          <w:sz w:val="32"/>
          <w:szCs w:val="32"/>
        </w:rPr>
      </w:pPr>
    </w:p>
    <w:sectPr>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方正黑体_GBK">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
    <w:altName w:val="Times New Roman"/>
    <w:panose1 w:val="00000000000000000000"/>
    <w:charset w:val="00"/>
    <w:family w:val="auto"/>
    <w:pitch w:val="variable"/>
    <w:sig w:usb0="00000000" w:usb1="00000000" w:usb2="00000000" w:usb3="00000000" w:csb0="00000000" w:csb1="00000000"/>
  </w:font>
  <w:font w:name="方正楷体_GBK">
    <w:panose1 w:val="03000509000000000000"/>
    <w:charset w:val="86"/>
    <w:family w:val="script"/>
    <w:pitch w:val="variable"/>
    <w:sig w:usb0="00000001" w:usb1="080E0000" w:usb2="00000000" w:usb3="00000000" w:csb0="00040000"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w:rPr>
        <w:sz w:val="18"/>
      </w:rPr>
      <mc:AlternateContent>
        <mc:Choice Requires="wps">
          <w:drawing>
            <wp:anchor distT="0" distB="0" distL="114298" distR="114298" simplePos="0" relativeHeight="20" behindDoc="0" locked="0" layoutInCell="1" hidden="0" allowOverlap="1">
              <wp:simplePos x="0" y="0"/>
              <wp:positionH relativeFrom="margin">
                <wp:align>center</wp:align>
              </wp:positionH>
              <wp:positionV relativeFrom="paragraph">
                <wp:posOffset>0</wp:posOffset>
              </wp:positionV>
              <wp:extent cx="128777" cy="155193"/>
              <wp:effectExtent l="0" t="0" r="0" b="0"/>
              <wp:wrapNone/>
              <wp:docPr id="4" name="文本框 3"/>
              <wp:cNvGraphicFramePr>
                <a:graphicFrameLocks noChangeAspect="0"/>
              </wp:cNvGraphicFramePr>
              <a:graphic>
                <a:graphicData uri="http://schemas.microsoft.com/office/word/2010/wordprocessingShape">
                  <wps:wsp>
                    <wps:cNvSpPr/>
                    <wps:spPr>
                      <a:xfrm rot="0">
                        <a:off x="0" y="0"/>
                        <a:ext cx="128777" cy="155193"/>
                      </a:xfrm>
                      <a:prstGeom prst="rect"/>
                      <a:noFill/>
                      <a:ln w="6350" cmpd="sng" cap="flat">
                        <a:noFill/>
                        <a:prstDash val="solid"/>
                        <a:round/>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w:t>
                          </w:r>
                          <w:r>
                            <w:rPr>
                              <w:sz w:val="20"/>
                              <w:szCs w:val="24"/>
                            </w:rPr>
                            <w:fldChar w:fldCharType="end"/>
                          </w:r>
                        </w:p>
                      </w:txbxContent>
                    </wps:txbx>
                    <wps:bodyPr vert="horz" wrap="none" lIns="0" tIns="0" rIns="0" bIns="0" anchor="t" anchorCtr="0" upright="0">
                      <a:spAutoFit/>
                    </wps:bodyPr>
                  </wps:wsp>
                </a:graphicData>
              </a:graphic>
            </wp:anchor>
          </w:drawing>
        </mc:Choice>
        <mc:Fallback>
          <w:pict>
            <v:shape type="#_x0000_t202" id="文本框 3 6" o:spid="_x0000_s6" filled="f" stroked="f" strokeweight="0.5pt" style="position:absolute;margin-left:2.5350108pt;margin-top:0.0pt;width:10.1399975pt;height:12.219998pt;z-index:20;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1</w:t>
                    </w:r>
                    <w:r>
                      <w:rPr>
                        <w:sz w:val="20"/>
                        <w:szCs w:val="24"/>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4128808"/>
    <w:multiLevelType w:val="singleLevel"/>
    <w:tmpl w:val="00000000"/>
    <w:lvl w:ilvl="0">
      <w:start w:val="1"/>
      <w:numFmt w:val="decimal"/>
      <w:lvlRestart w:val="0"/>
      <w:pStyle w:val="49"/>
      <w:lvlText w:val="%1."/>
      <w:lvlJc w:val="left"/>
      <w:pPr>
        <w:tabs>
          <w:tab w:val="num" w:pos="360"/>
        </w:tabs>
        <w:ind w:left="360" w:hanging="360"/>
      </w:pPr>
    </w:lvl>
  </w:abstractNum>
  <w:abstractNum w:abstractNumId="1">
    <w:nsid w:val="ECED7259"/>
    <w:multiLevelType w:val="singleLevel"/>
    <w:tmpl w:val="00000000"/>
    <w:lvl w:ilvl="0">
      <w:start w:val="1"/>
      <w:numFmt w:val="bullet"/>
      <w:lvlRestart w:val="0"/>
      <w:pStyle w:val="56"/>
      <w:lvlText w:val=""/>
      <w:lvlJc w:val="left"/>
      <w:pPr>
        <w:tabs>
          <w:tab w:val="num" w:pos="1620"/>
        </w:tabs>
        <w:ind w:left="1620" w:hanging="360"/>
      </w:pPr>
      <w:rPr>
        <w:rFonts w:ascii="Wingdings" w:hAnsi="Wingdings" w:hint="default"/>
      </w:rPr>
    </w:lvl>
  </w:abstractNum>
  <w:abstractNum w:abstractNumId="2">
    <w:nsid w:val="D8A23CB8"/>
    <w:multiLevelType w:val="singleLevel"/>
    <w:tmpl w:val="00000000"/>
    <w:lvl w:ilvl="0">
      <w:start w:val="1"/>
      <w:numFmt w:val="bullet"/>
      <w:lvlRestart w:val="0"/>
      <w:pStyle w:val="57"/>
      <w:lvlText w:val=""/>
      <w:lvlJc w:val="left"/>
      <w:pPr>
        <w:tabs>
          <w:tab w:val="num" w:pos="2040"/>
        </w:tabs>
        <w:ind w:left="2040" w:hanging="360"/>
      </w:pPr>
      <w:rPr>
        <w:rFonts w:ascii="Wingdings" w:hAnsi="Wingdings" w:hint="default"/>
      </w:rPr>
    </w:lvl>
  </w:abstractNum>
  <w:abstractNum w:abstractNumId="3">
    <w:nsid w:val="4F73B9A0"/>
    <w:multiLevelType w:val="singleLevel"/>
    <w:tmpl w:val="00000000"/>
    <w:lvl w:ilvl="0">
      <w:start w:val="1"/>
      <w:numFmt w:val="decimal"/>
      <w:lvlRestart w:val="0"/>
      <w:pStyle w:val="58"/>
      <w:lvlText w:val="%1."/>
      <w:lvlJc w:val="left"/>
      <w:pPr>
        <w:tabs>
          <w:tab w:val="num" w:pos="780"/>
        </w:tabs>
        <w:ind w:left="780" w:hanging="360"/>
      </w:p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character" w:styleId="17">
    <w:name w:val="page number"/>
    <w:basedOn w:val="10"/>
  </w:style>
  <w:style w:type="paragraph" w:customStyle="1" w:styleId="18">
    <w:name w:val="样式 4 10 磅"/>
    <w:basedOn w:val="0"/>
    <w:rPr>
      <w:rFonts w:ascii="Times New Roman" w:eastAsia="宋体" w:cs="Times New Roman" w:hAnsi="Times New Roman"/>
      <w:szCs w:val="21"/>
    </w:rPr>
  </w:style>
  <w:style w:type="paragraph" w:customStyle="1" w:styleId="19">
    <w:name w:val="样式 51 10 磅"/>
    <w:basedOn w:val="0"/>
    <w:rPr>
      <w:rFonts w:ascii="Times New Roman" w:eastAsia="宋体" w:cs="Times New Roman" w:hAnsi="Times New Roman"/>
      <w:szCs w:val="21"/>
    </w:rPr>
  </w:style>
  <w:style w:type="paragraph" w:customStyle="1" w:styleId="20">
    <w:name w:val="样式 36 10 磅"/>
    <w:basedOn w:val="0"/>
    <w:rPr>
      <w:rFonts w:ascii="Times New Roman" w:eastAsia="宋体" w:cs="Times New Roman" w:hAnsi="Times New Roman"/>
      <w:szCs w:val="21"/>
    </w:rPr>
  </w:style>
  <w:style w:type="paragraph" w:customStyle="1" w:styleId="21">
    <w:name w:val="样式 49 10 磅"/>
    <w:basedOn w:val="0"/>
    <w:rPr>
      <w:rFonts w:ascii="Times New Roman" w:eastAsia="宋体"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rPr>
      <w:rFonts w:ascii="宋体" w:eastAsia="宋体" w:cs="宋体"/>
      <w:color w:val="000000"/>
      <w:sz w:val="22"/>
      <w:szCs w:val="22"/>
      <w:u w:val="none"/>
    </w:rPr>
  </w:style>
  <w:style w:type="paragraph" w:customStyle="1" w:styleId="27">
    <w:name w:val="样式 2 10 磅"/>
    <w:basedOn w:val="0"/>
    <w:rPr>
      <w:rFonts w:ascii="Times New Roman" w:eastAsia="宋体" w:cs="Times New Roman" w:hAnsi="Times New Roman"/>
      <w:szCs w:val="21"/>
    </w:rPr>
  </w:style>
  <w:style w:type="paragraph" w:customStyle="1" w:styleId="28">
    <w:name w:val="样式 1 10 磅"/>
    <w:basedOn w:val="0"/>
    <w:rPr>
      <w:rFonts w:ascii="Times New Roman" w:eastAsia="宋体" w:cs="Times New Roman" w:hAnsi="Times New Roman"/>
      <w:szCs w:val="21"/>
    </w:rPr>
  </w:style>
  <w:style w:type="paragraph" w:styleId="29">
    <w:name w:val="annotation text"/>
    <w:basedOn w:val="0"/>
    <w:pPr>
      <w:jc w:val="left"/>
    </w:pPr>
  </w:style>
  <w:style w:type="paragraph" w:styleId="30">
    <w:name w:val="Body Text"/>
    <w:basedOn w:val="0"/>
    <w:pPr>
      <w:spacing w:after="120"/>
    </w:pPr>
  </w:style>
  <w:style w:type="paragraph" w:styleId="31">
    <w:name w:val="Body Text Indent"/>
    <w:basedOn w:val="0"/>
    <w:pPr>
      <w:spacing w:after="120"/>
      <w:ind w:left="420"/>
    </w:pPr>
  </w:style>
  <w:style w:type="paragraph" w:styleId="32">
    <w:name w:val="List Continue 3"/>
    <w:basedOn w:val="0"/>
    <w:pPr>
      <w:spacing w:after="120"/>
      <w:ind w:left="1260"/>
    </w:pPr>
  </w:style>
  <w:style w:type="paragraph" w:styleId="33">
    <w:name w:val="List Continue 4"/>
    <w:basedOn w:val="0"/>
    <w:pPr>
      <w:spacing w:after="120"/>
      <w:ind w:left="1680"/>
    </w:pPr>
  </w:style>
  <w:style w:type="paragraph" w:styleId="34">
    <w:name w:val="List Continue 5"/>
    <w:basedOn w:val="0"/>
    <w:pPr>
      <w:spacing w:after="120"/>
      <w:ind w:left="2100"/>
    </w:pPr>
  </w:style>
  <w:style w:type="paragraph" w:styleId="35">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paragraph" w:styleId="36">
    <w:name w:val="Subtitle"/>
    <w:basedOn w:val="0"/>
    <w:pPr>
      <w:spacing w:before="240" w:after="60" w:line="312" w:lineRule="auto"/>
      <w:jc w:val="center"/>
      <w:outlineLvl w:val="1"/>
    </w:pPr>
    <w:rPr>
      <w:rFonts w:ascii="Arial" w:hAnsi="Arial"/>
      <w:b/>
      <w:kern w:val="28"/>
      <w:sz w:val="32"/>
    </w:rPr>
  </w:style>
  <w:style w:type="paragraph" w:styleId="37">
    <w:name w:val="Salutation"/>
    <w:basedOn w:val="0"/>
    <w:next w:val="0"/>
  </w:style>
  <w:style w:type="paragraph" w:styleId="38">
    <w:name w:val="Date"/>
    <w:basedOn w:val="0"/>
    <w:next w:val="0"/>
    <w:pPr>
      <w:ind w:leftChars="2500" w:left="2500"/>
    </w:pPr>
  </w:style>
  <w:style w:type="paragraph" w:styleId="39">
    <w:name w:val="Body Text First Indent"/>
    <w:basedOn w:val="30"/>
    <w:pPr>
      <w:ind w:firstLine="420"/>
    </w:pPr>
  </w:style>
  <w:style w:type="paragraph" w:styleId="40">
    <w:name w:val="Body Text First Indent 2"/>
    <w:basedOn w:val="31"/>
    <w:pPr>
      <w:ind w:firstLine="420"/>
    </w:pPr>
  </w:style>
  <w:style w:type="paragraph" w:styleId="41">
    <w:name w:val="Note Heading"/>
    <w:basedOn w:val="0"/>
    <w:next w:val="0"/>
    <w:pPr>
      <w:jc w:val="center"/>
    </w:pPr>
  </w:style>
  <w:style w:type="paragraph" w:styleId="42">
    <w:name w:val="Body Text 2"/>
    <w:basedOn w:val="0"/>
    <w:pPr>
      <w:spacing w:after="120" w:line="480" w:lineRule="auto"/>
    </w:pPr>
  </w:style>
  <w:style w:type="paragraph" w:styleId="43">
    <w:name w:val="Body Text 3"/>
    <w:basedOn w:val="0"/>
    <w:pPr>
      <w:spacing w:after="120"/>
    </w:pPr>
    <w:rPr>
      <w:sz w:val="16"/>
    </w:rPr>
  </w:style>
  <w:style w:type="paragraph" w:styleId="44">
    <w:name w:val="Body Text Indent 2"/>
    <w:basedOn w:val="0"/>
    <w:pPr>
      <w:spacing w:after="120" w:line="480" w:lineRule="auto"/>
      <w:ind w:left="420"/>
    </w:pPr>
  </w:style>
  <w:style w:type="paragraph" w:styleId="45">
    <w:name w:val="Plain Text"/>
    <w:basedOn w:val="0"/>
    <w:rPr>
      <w:rFonts w:ascii="Courier New" w:eastAsia="宋体" w:hAnsi="Courier New"/>
    </w:rPr>
  </w:style>
  <w:style w:type="paragraph" w:styleId="46">
    <w:name w:val="E-mail Signature"/>
    <w:basedOn w:val="0"/>
  </w:style>
  <w:style w:type="paragraph" w:styleId="47">
    <w:name w:val="Normal (Web)"/>
    <w:basedOn w:val="0"/>
    <w:rPr>
      <w:sz w:val="24"/>
    </w:rPr>
  </w:style>
  <w:style w:type="character" w:styleId="48">
    <w:name w:val="HTML Acronym"/>
    <w:basedOn w:val="10"/>
  </w:style>
  <w:style w:type="paragraph" w:styleId="49">
    <w:name w:val="annotation subject"/>
    <w:basedOn w:val="29"/>
    <w:next w:val="29"/>
    <w:rPr>
      <w:b/>
    </w:rPr>
  </w:style>
  <w:style w:type="paragraph" w:styleId="50">
    <w:name w:val="Balloon Text"/>
    <w:basedOn w:val="0"/>
    <w:next w:val="0"/>
    <w:rPr>
      <w:sz w:val="18"/>
    </w:rPr>
  </w:style>
  <w:style w:type="paragraph" w:customStyle="1" w:styleId="51">
    <w:name w:val="正文文字"/>
    <w:basedOn w:val="0"/>
    <w:next w:val="0"/>
    <w:pPr>
      <w:spacing w:after="120"/>
    </w:pPr>
  </w:style>
  <w:style w:type="paragraph" w:customStyle="1" w:styleId="52">
    <w:name w:val="正文文字 1"/>
    <w:basedOn w:val="0"/>
    <w:autoRedefine/>
    <w:next w:val="0"/>
    <w:pPr>
      <w:ind w:left="240"/>
    </w:pPr>
    <w:rPr>
      <w:sz w:val="28"/>
    </w:rPr>
  </w:style>
  <w:style w:type="paragraph" w:customStyle="1" w:styleId="53">
    <w:name w:val="正文文字 2"/>
    <w:basedOn w:val="0"/>
    <w:autoRedefine/>
    <w:next w:val="0"/>
    <w:pPr>
      <w:ind w:left="240"/>
    </w:pPr>
    <w:rPr>
      <w:rFonts w:ascii="Arial" w:hAnsi="Arial"/>
      <w:sz w:val="28"/>
    </w:rPr>
  </w:style>
  <w:style w:type="paragraph" w:customStyle="1" w:styleId="54">
    <w:name w:val="正文文字 3"/>
    <w:basedOn w:val="0"/>
    <w:autoRedefine/>
    <w:next w:val="0"/>
    <w:pPr>
      <w:ind w:left="240"/>
    </w:pPr>
    <w:rPr>
      <w:sz w:val="28"/>
    </w:rPr>
  </w:style>
  <w:style w:type="paragraph" w:customStyle="1" w:styleId="55">
    <w:name w:val="正文文字 4"/>
    <w:basedOn w:val="0"/>
    <w:autoRedefine/>
    <w:next w:val="0"/>
    <w:pPr>
      <w:ind w:left="240"/>
    </w:pPr>
    <w:rPr>
      <w:sz w:val="24"/>
    </w:rPr>
  </w:style>
  <w:style w:type="paragraph" w:customStyle="1" w:styleId="56">
    <w:name w:val="正文文字 5"/>
    <w:basedOn w:val="0"/>
    <w:autoRedefine/>
    <w:next w:val="0"/>
    <w:pPr>
      <w:ind w:left="240"/>
    </w:pPr>
    <w:rPr>
      <w:sz w:val="24"/>
    </w:rPr>
  </w:style>
  <w:style w:type="paragraph" w:customStyle="1" w:styleId="57">
    <w:name w:val="正文文字 6"/>
    <w:basedOn w:val="0"/>
    <w:autoRedefine/>
    <w:next w:val="0"/>
    <w:pPr>
      <w:ind w:left="240"/>
    </w:pPr>
    <w:rPr>
      <w:sz w:val="20"/>
    </w:rPr>
  </w:style>
  <w:style w:type="paragraph" w:customStyle="1" w:styleId="58">
    <w:name w:val="正文文字 7"/>
    <w:basedOn w:val="0"/>
    <w:autoRedefine/>
    <w:next w:val="0"/>
    <w:pPr>
      <w:ind w:left="240"/>
    </w:pPr>
    <w:rPr>
      <w:sz w:val="20"/>
    </w:rPr>
  </w:style>
  <w:style w:type="paragraph" w:customStyle="1" w:styleId="59">
    <w:name w:val="正文文字 8"/>
    <w:basedOn w:val="0"/>
    <w:autoRedefine/>
    <w:next w:val="0"/>
    <w:pPr>
      <w:ind w:left="240"/>
    </w:pPr>
    <w:rPr>
      <w:sz w:val="16"/>
    </w:rPr>
  </w:style>
  <w:style w:type="paragraph" w:customStyle="1" w:styleId="60">
    <w:name w:val="正文文字 9"/>
    <w:basedOn w:val="0"/>
    <w:autoRedefine/>
    <w:next w:val="0"/>
    <w:pPr>
      <w:ind w:left="240"/>
    </w:pPr>
    <w:rPr>
      <w:sz w:val="16"/>
    </w:rPr>
  </w:style>
  <w:style w:type="paragraph" w:customStyle="1" w:styleId="61">
    <w:name w:val="公式样式 文本"/>
    <w:autoRedefine/>
    <w:rPr>
      <w:rFonts w:ascii="Times New Roman" w:eastAsia="宋体" w:cs="Times New Roman" w:hAnsi="Times New Roman"/>
      <w:b w:val="0"/>
      <w:i w:val="0"/>
      <w:lang w:val="en-US" w:eastAsia="zh-CN" w:bidi="ar-SA"/>
    </w:rPr>
  </w:style>
  <w:style w:type="paragraph" w:customStyle="1" w:styleId="62">
    <w:name w:val="公式样式 函数"/>
    <w:autoRedefine/>
    <w:rPr>
      <w:rFonts w:ascii="Times New Roman" w:eastAsia="宋体" w:cs="Times New Roman" w:hAnsi="Times New Roman"/>
      <w:b w:val="0"/>
      <w:i w:val="0"/>
      <w:lang w:val="en-US" w:eastAsia="zh-CN" w:bidi="ar-SA"/>
    </w:rPr>
  </w:style>
  <w:style w:type="paragraph" w:customStyle="1" w:styleId="63">
    <w:name w:val="公式样式 变量"/>
    <w:autoRedefine/>
    <w:rPr>
      <w:rFonts w:ascii="Times New Roman" w:eastAsia="宋体" w:cs="Times New Roman" w:hAnsi="Times New Roman"/>
      <w:b w:val="0"/>
      <w:i/>
      <w:lang w:val="en-US" w:eastAsia="zh-CN" w:bidi="ar-SA"/>
    </w:rPr>
  </w:style>
  <w:style w:type="paragraph" w:customStyle="1" w:styleId="64">
    <w:name w:val="公式样式 小写希腊字母"/>
    <w:autoRedefine/>
    <w:rPr>
      <w:rFonts w:ascii="Times New Roman" w:eastAsia="宋体" w:cs="Times New Roman" w:hAnsi="Times New Roman"/>
      <w:b w:val="0"/>
      <w:i/>
      <w:lang w:val="en-US" w:eastAsia="zh-CN" w:bidi="ar-SA"/>
    </w:rPr>
  </w:style>
  <w:style w:type="paragraph" w:customStyle="1" w:styleId="65">
    <w:name w:val="公式样式 符号"/>
    <w:autoRedefine/>
    <w:rPr>
      <w:rFonts w:ascii="Times New Roman" w:eastAsia="宋体" w:cs="Times New Roman" w:hAnsi="Times New Roman"/>
      <w:b w:val="0"/>
      <w:i w:val="0"/>
      <w:lang w:val="en-US" w:eastAsia="zh-CN" w:bidi="ar-SA"/>
    </w:rPr>
  </w:style>
  <w:style w:type="paragraph" w:customStyle="1" w:styleId="66">
    <w:name w:val="公式样式 数字"/>
    <w:autoRedefine/>
    <w:rPr>
      <w:rFonts w:ascii="Times New Roman" w:eastAsia="宋体" w:cs="Times New Roman" w:hAnsi="Times New Roman"/>
      <w:b w:val="0"/>
      <w:i w:val="0"/>
      <w:lang w:val="en-US" w:eastAsia="zh-CN" w:bidi="ar-SA"/>
    </w:rPr>
  </w:style>
  <w:style w:type="paragraph" w:customStyle="1" w:styleId="67">
    <w:name w:val="样式 53 10 磅"/>
    <w:next w:val="32"/>
    <w:pPr>
      <w:widowControl w:val="0"/>
      <w:jc w:val="both"/>
    </w:pPr>
    <w:rPr>
      <w:rFonts w:ascii="Calibri" w:eastAsia="宋体" w:cs="Arial" w:hAnsi="Calibri"/>
      <w:kern w:val="2"/>
      <w:sz w:val="21"/>
      <w:szCs w:val="22"/>
      <w:lang w:val="en-US" w:eastAsia="zh-CN" w:bidi="ar-SA"/>
    </w:rPr>
  </w:style>
  <w:style w:type="paragraph" w:customStyle="1" w:styleId="68">
    <w:name w:val="样式 54 10 磅"/>
    <w:next w:val="33"/>
    <w:pPr>
      <w:widowControl w:val="0"/>
      <w:jc w:val="both"/>
    </w:pPr>
    <w:rPr>
      <w:rFonts w:ascii="Calibri" w:eastAsia="宋体" w:cs="Arial" w:hAnsi="Calibri"/>
      <w:kern w:val="2"/>
      <w:sz w:val="21"/>
      <w:szCs w:val="22"/>
      <w:lang w:val="en-US" w:eastAsia="zh-CN" w:bidi="ar-SA"/>
    </w:rPr>
  </w:style>
  <w:style w:type="paragraph" w:customStyle="1" w:styleId="69">
    <w:name w:val="样式 55 10 磅"/>
    <w:next w:val="34"/>
    <w:pPr>
      <w:widowControl w:val="0"/>
      <w:jc w:val="both"/>
    </w:pPr>
    <w:rPr>
      <w:rFonts w:ascii="Calibri" w:eastAsia="宋体" w:cs="Arial" w:hAnsi="Calibri"/>
      <w:kern w:val="2"/>
      <w:sz w:val="21"/>
      <w:szCs w:val="22"/>
      <w:lang w:val="en-US" w:eastAsia="zh-CN" w:bidi="ar-SA"/>
    </w:rPr>
  </w:style>
  <w:style w:type="paragraph" w:customStyle="1" w:styleId="70">
    <w:name w:val="样式 56 10 磅"/>
    <w:next w:val="35"/>
    <w:pPr>
      <w:widowControl w:val="0"/>
      <w:jc w:val="both"/>
    </w:pPr>
    <w:rPr>
      <w:rFonts w:ascii="Calibri" w:eastAsia="宋体" w:cs="Arial" w:hAnsi="Calibri"/>
      <w:kern w:val="2"/>
      <w:sz w:val="21"/>
      <w:szCs w:val="22"/>
      <w:lang w:val="en-US" w:eastAsia="zh-CN" w:bidi="ar-SA"/>
    </w:rPr>
  </w:style>
  <w:style w:type="paragraph" w:customStyle="1" w:styleId="71">
    <w:name w:val="样式 57 10 磅"/>
    <w:next w:val="36"/>
    <w:pPr>
      <w:widowControl w:val="0"/>
      <w:jc w:val="both"/>
    </w:pPr>
    <w:rPr>
      <w:rFonts w:ascii="Calibri" w:eastAsia="宋体" w:cs="Arial" w:hAnsi="Calibri"/>
      <w:kern w:val="2"/>
      <w:sz w:val="21"/>
      <w:szCs w:val="22"/>
      <w:lang w:val="en-US" w:eastAsia="zh-CN" w:bidi="ar-SA"/>
    </w:rPr>
  </w:style>
  <w:style w:type="paragraph" w:customStyle="1" w:styleId="72">
    <w:name w:val="样式 58 10 磅"/>
    <w:next w:val="37"/>
    <w:pPr>
      <w:widowControl w:val="0"/>
      <w:jc w:val="both"/>
    </w:pPr>
    <w:rPr>
      <w:rFonts w:ascii="Calibri" w:eastAsia="宋体" w:cs="Arial" w:hAnsi="Calibri"/>
      <w:kern w:val="2"/>
      <w:sz w:val="21"/>
      <w:szCs w:val="22"/>
      <w:lang w:val="en-US" w:eastAsia="zh-CN" w:bidi="ar-SA"/>
    </w:rPr>
  </w:style>
  <w:style w:type="paragraph" w:customStyle="1" w:styleId="73">
    <w:name w:val="样式 59 10 磅"/>
    <w:next w:val="38"/>
    <w:pPr>
      <w:widowControl w:val="0"/>
      <w:jc w:val="both"/>
    </w:pPr>
    <w:rPr>
      <w:rFonts w:ascii="Calibri" w:eastAsia="宋体" w:cs="Arial" w:hAnsi="Calibri"/>
      <w:kern w:val="2"/>
      <w:sz w:val="21"/>
      <w:szCs w:val="22"/>
      <w:lang w:val="en-US" w:eastAsia="zh-CN" w:bidi="ar-SA"/>
    </w:rPr>
  </w:style>
  <w:style w:type="paragraph" w:customStyle="1" w:styleId="74">
    <w:name w:val="样式 60 10 磅"/>
    <w:next w:val="39"/>
    <w:pPr>
      <w:widowControl w:val="0"/>
      <w:jc w:val="both"/>
    </w:pPr>
    <w:rPr>
      <w:rFonts w:ascii="Calibri" w:eastAsia="宋体" w:cs="Arial" w:hAnsi="Calibri"/>
      <w:kern w:val="2"/>
      <w:sz w:val="21"/>
      <w:szCs w:val="22"/>
      <w:lang w:val="en-US" w:eastAsia="zh-CN" w:bidi="ar-SA"/>
    </w:rPr>
  </w:style>
  <w:style w:type="paragraph" w:customStyle="1" w:styleId="75">
    <w:name w:val="样式 61 10 磅"/>
    <w:next w:val="40"/>
    <w:pPr>
      <w:widowControl w:val="0"/>
      <w:jc w:val="both"/>
    </w:pPr>
    <w:rPr>
      <w:rFonts w:ascii="Calibri" w:eastAsia="宋体" w:cs="Arial" w:hAnsi="Calibri"/>
      <w:kern w:val="2"/>
      <w:sz w:val="21"/>
      <w:szCs w:val="22"/>
      <w:lang w:val="en-US" w:eastAsia="zh-CN" w:bidi="ar-SA"/>
    </w:rPr>
  </w:style>
  <w:style w:type="paragraph" w:customStyle="1" w:styleId="76">
    <w:name w:val="样式 62 10 磅"/>
    <w:next w:val="41"/>
    <w:pPr>
      <w:widowControl w:val="0"/>
      <w:jc w:val="both"/>
    </w:pPr>
    <w:rPr>
      <w:rFonts w:ascii="Calibri" w:eastAsia="宋体" w:cs="Arial" w:hAnsi="Calibri"/>
      <w:kern w:val="2"/>
      <w:sz w:val="21"/>
      <w:szCs w:val="22"/>
      <w:lang w:val="en-US" w:eastAsia="zh-CN" w:bidi="ar-SA"/>
    </w:rPr>
  </w:style>
  <w:style w:type="paragraph" w:customStyle="1" w:styleId="77">
    <w:name w:val="样式 63 10 磅"/>
    <w:next w:val="42"/>
    <w:pPr>
      <w:widowControl w:val="0"/>
      <w:jc w:val="both"/>
    </w:pPr>
    <w:rPr>
      <w:rFonts w:ascii="Calibri" w:eastAsia="宋体" w:cs="Arial" w:hAnsi="Calibri"/>
      <w:kern w:val="2"/>
      <w:sz w:val="21"/>
      <w:szCs w:val="22"/>
      <w:lang w:val="en-US" w:eastAsia="zh-CN" w:bidi="ar-SA"/>
    </w:rPr>
  </w:style>
  <w:style w:type="paragraph" w:customStyle="1" w:styleId="78">
    <w:name w:val="样式 64 10 磅"/>
    <w:next w:val="43"/>
    <w:pPr>
      <w:widowControl w:val="0"/>
      <w:jc w:val="both"/>
    </w:pPr>
    <w:rPr>
      <w:rFonts w:ascii="Calibri" w:eastAsia="宋体" w:cs="Arial" w:hAnsi="Calibri"/>
      <w:kern w:val="2"/>
      <w:sz w:val="21"/>
      <w:szCs w:val="22"/>
      <w:lang w:val="en-US" w:eastAsia="zh-CN" w:bidi="ar-SA"/>
    </w:rPr>
  </w:style>
  <w:style w:type="paragraph" w:customStyle="1" w:styleId="79">
    <w:name w:val="样式 65 10 磅"/>
    <w:next w:val="44"/>
    <w:pPr>
      <w:widowControl w:val="0"/>
      <w:jc w:val="both"/>
    </w:pPr>
    <w:rPr>
      <w:rFonts w:ascii="Calibri" w:eastAsia="宋体" w:cs="Arial" w:hAnsi="Calibri"/>
      <w:kern w:val="2"/>
      <w:sz w:val="21"/>
      <w:szCs w:val="22"/>
      <w:lang w:val="en-US" w:eastAsia="zh-CN" w:bidi="ar-SA"/>
    </w:rPr>
  </w:style>
  <w:style w:type="paragraph" w:customStyle="1" w:styleId="80">
    <w:name w:val="样式 73 10 磅"/>
    <w:next w:val="45"/>
    <w:pPr>
      <w:widowControl w:val="0"/>
      <w:jc w:val="both"/>
    </w:pPr>
    <w:rPr>
      <w:rFonts w:ascii="Calibri" w:eastAsia="宋体" w:cs="Arial" w:hAnsi="Calibri"/>
      <w:kern w:val="2"/>
      <w:sz w:val="21"/>
      <w:szCs w:val="22"/>
      <w:lang w:val="en-US" w:eastAsia="zh-CN" w:bidi="ar-SA"/>
    </w:rPr>
  </w:style>
  <w:style w:type="paragraph" w:customStyle="1" w:styleId="81">
    <w:name w:val="样式 74 10 磅"/>
    <w:next w:val="46"/>
    <w:pPr>
      <w:widowControl w:val="0"/>
      <w:jc w:val="both"/>
    </w:pPr>
    <w:rPr>
      <w:rFonts w:ascii="Calibri" w:eastAsia="宋体" w:cs="Arial" w:hAnsi="Calibri"/>
      <w:kern w:val="2"/>
      <w:sz w:val="21"/>
      <w:szCs w:val="22"/>
      <w:lang w:val="en-US" w:eastAsia="zh-CN" w:bidi="ar-SA"/>
    </w:rPr>
  </w:style>
  <w:style w:type="paragraph" w:customStyle="1" w:styleId="82">
    <w:name w:val="样式 75 10 磅"/>
    <w:next w:val="47"/>
    <w:pPr>
      <w:widowControl w:val="0"/>
      <w:jc w:val="both"/>
    </w:pPr>
    <w:rPr>
      <w:rFonts w:ascii="Calibri" w:eastAsia="宋体" w:cs="Arial" w:hAnsi="Calibri"/>
      <w:kern w:val="2"/>
      <w:sz w:val="21"/>
      <w:szCs w:val="22"/>
      <w:lang w:val="en-US" w:eastAsia="zh-CN" w:bidi="ar-SA"/>
    </w:rPr>
  </w:style>
  <w:style w:type="paragraph" w:customStyle="1" w:styleId="83">
    <w:name w:val="样式 76 10 磅"/>
    <w:next w:val="48"/>
    <w:pPr>
      <w:widowControl w:val="0"/>
      <w:jc w:val="both"/>
    </w:pPr>
    <w:rPr>
      <w:rFonts w:ascii="Calibri" w:eastAsia="宋体" w:cs="Arial" w:hAnsi="Calibri"/>
      <w:kern w:val="2"/>
      <w:sz w:val="21"/>
      <w:szCs w:val="22"/>
      <w:lang w:val="en-US" w:eastAsia="zh-CN" w:bidi="ar-SA"/>
    </w:rPr>
  </w:style>
  <w:style w:type="paragraph" w:customStyle="1" w:styleId="84">
    <w:name w:val="样式 86 10 磅"/>
    <w:next w:val="49"/>
    <w:pPr>
      <w:widowControl w:val="0"/>
      <w:jc w:val="both"/>
    </w:pPr>
    <w:rPr>
      <w:rFonts w:ascii="Calibri" w:eastAsia="宋体" w:cs="Arial" w:hAnsi="Calibri"/>
      <w:kern w:val="2"/>
      <w:sz w:val="21"/>
      <w:szCs w:val="22"/>
      <w:lang w:val="en-US" w:eastAsia="zh-CN" w:bidi="ar-SA"/>
    </w:rPr>
  </w:style>
  <w:style w:type="paragraph" w:customStyle="1" w:styleId="85">
    <w:name w:val="样式 87 10 磅"/>
    <w:next w:val="50"/>
    <w:pPr>
      <w:widowControl w:val="0"/>
      <w:jc w:val="both"/>
    </w:pPr>
    <w:rPr>
      <w:rFonts w:ascii="Calibri" w:eastAsia="宋体" w:cs="Arial" w:hAnsi="Calibri"/>
      <w:kern w:val="2"/>
      <w:sz w:val="21"/>
      <w:szCs w:val="22"/>
      <w:lang w:val="en-US" w:eastAsia="zh-CN" w:bidi="ar-SA"/>
    </w:rPr>
  </w:style>
  <w:style w:type="paragraph" w:customStyle="1" w:styleId="86">
    <w:name w:val="样式 88 10 磅"/>
    <w:next w:val="51"/>
    <w:pPr>
      <w:widowControl w:val="0"/>
      <w:jc w:val="both"/>
    </w:pPr>
    <w:rPr>
      <w:rFonts w:ascii="Calibri" w:eastAsia="宋体" w:cs="Arial" w:hAnsi="Calibri"/>
      <w:kern w:val="2"/>
      <w:sz w:val="21"/>
      <w:szCs w:val="22"/>
      <w:lang w:val="en-US" w:eastAsia="zh-CN" w:bidi="ar-SA"/>
    </w:rPr>
  </w:style>
  <w:style w:type="paragraph" w:customStyle="1" w:styleId="87">
    <w:name w:val="样式 89 10 磅"/>
    <w:next w:val="52"/>
    <w:pPr>
      <w:widowControl w:val="0"/>
      <w:jc w:val="both"/>
    </w:pPr>
    <w:rPr>
      <w:rFonts w:ascii="Calibri" w:eastAsia="宋体" w:cs="Arial" w:hAnsi="Calibri"/>
      <w:kern w:val="2"/>
      <w:sz w:val="21"/>
      <w:szCs w:val="22"/>
      <w:lang w:val="en-US" w:eastAsia="zh-CN" w:bidi="ar-SA"/>
    </w:rPr>
  </w:style>
  <w:style w:type="paragraph" w:customStyle="1" w:styleId="88">
    <w:name w:val="样式 90 10 磅"/>
    <w:next w:val="53"/>
    <w:pPr>
      <w:widowControl w:val="0"/>
      <w:jc w:val="both"/>
    </w:pPr>
    <w:rPr>
      <w:rFonts w:ascii="Calibri" w:eastAsia="宋体" w:cs="Arial" w:hAnsi="Calibri"/>
      <w:kern w:val="2"/>
      <w:sz w:val="21"/>
      <w:szCs w:val="22"/>
      <w:lang w:val="en-US" w:eastAsia="zh-CN" w:bidi="ar-SA"/>
    </w:rPr>
  </w:style>
  <w:style w:type="paragraph" w:customStyle="1" w:styleId="89">
    <w:name w:val="样式 91 10 磅"/>
    <w:next w:val="54"/>
    <w:pPr>
      <w:widowControl w:val="0"/>
      <w:jc w:val="both"/>
    </w:pPr>
    <w:rPr>
      <w:rFonts w:ascii="Calibri" w:eastAsia="宋体" w:cs="Arial" w:hAnsi="Calibri"/>
      <w:kern w:val="2"/>
      <w:sz w:val="21"/>
      <w:szCs w:val="22"/>
      <w:lang w:val="en-US" w:eastAsia="zh-CN" w:bidi="ar-SA"/>
    </w:rPr>
  </w:style>
  <w:style w:type="paragraph" w:customStyle="1" w:styleId="90">
    <w:name w:val="样式 92 10 磅"/>
    <w:next w:val="55"/>
    <w:pPr>
      <w:widowControl w:val="0"/>
      <w:jc w:val="both"/>
    </w:pPr>
    <w:rPr>
      <w:rFonts w:ascii="Calibri" w:eastAsia="宋体" w:cs="Arial" w:hAnsi="Calibri"/>
      <w:kern w:val="2"/>
      <w:sz w:val="21"/>
      <w:szCs w:val="22"/>
      <w:lang w:val="en-US" w:eastAsia="zh-CN" w:bidi="ar-SA"/>
    </w:rPr>
  </w:style>
  <w:style w:type="paragraph" w:customStyle="1" w:styleId="91">
    <w:name w:val="样式 93 10 磅"/>
    <w:next w:val="56"/>
    <w:pPr>
      <w:widowControl w:val="0"/>
      <w:jc w:val="both"/>
    </w:pPr>
    <w:rPr>
      <w:rFonts w:ascii="Calibri" w:eastAsia="宋体" w:cs="Arial" w:hAnsi="Calibri"/>
      <w:kern w:val="2"/>
      <w:sz w:val="21"/>
      <w:szCs w:val="22"/>
      <w:lang w:val="en-US" w:eastAsia="zh-CN" w:bidi="ar-SA"/>
    </w:rPr>
  </w:style>
  <w:style w:type="paragraph" w:customStyle="1" w:styleId="92">
    <w:name w:val="样式 94 10 磅"/>
    <w:next w:val="57"/>
    <w:pPr>
      <w:widowControl w:val="0"/>
      <w:jc w:val="both"/>
    </w:pPr>
    <w:rPr>
      <w:rFonts w:ascii="Calibri" w:eastAsia="宋体" w:cs="Arial" w:hAnsi="Calibri"/>
      <w:kern w:val="2"/>
      <w:sz w:val="21"/>
      <w:szCs w:val="22"/>
      <w:lang w:val="en-US" w:eastAsia="zh-CN" w:bidi="ar-SA"/>
    </w:rPr>
  </w:style>
  <w:style w:type="paragraph" w:customStyle="1" w:styleId="93">
    <w:name w:val="样式 95 10 磅"/>
    <w:next w:val="58"/>
    <w:pPr>
      <w:widowControl w:val="0"/>
      <w:jc w:val="both"/>
    </w:pPr>
    <w:rPr>
      <w:rFonts w:ascii="Calibri" w:eastAsia="宋体" w:cs="Arial" w:hAnsi="Calibri"/>
      <w:kern w:val="2"/>
      <w:sz w:val="21"/>
      <w:szCs w:val="22"/>
      <w:lang w:val="en-US" w:eastAsia="zh-CN" w:bidi="ar-SA"/>
    </w:rPr>
  </w:style>
  <w:style w:type="paragraph" w:customStyle="1" w:styleId="94">
    <w:name w:val="样式 96 10 磅"/>
    <w:next w:val="59"/>
    <w:pPr>
      <w:widowControl w:val="0"/>
      <w:jc w:val="both"/>
    </w:pPr>
    <w:rPr>
      <w:rFonts w:ascii="Calibri" w:eastAsia="宋体" w:cs="Arial" w:hAnsi="Calibri"/>
      <w:kern w:val="2"/>
      <w:sz w:val="21"/>
      <w:szCs w:val="22"/>
      <w:lang w:val="en-US" w:eastAsia="zh-CN" w:bidi="ar-SA"/>
    </w:rPr>
  </w:style>
  <w:style w:type="paragraph" w:customStyle="1" w:styleId="95">
    <w:name w:val="样式 97 10 磅"/>
    <w:next w:val="60"/>
    <w:pPr>
      <w:widowControl w:val="0"/>
      <w:jc w:val="both"/>
    </w:pPr>
    <w:rPr>
      <w:rFonts w:ascii="Calibri" w:eastAsia="宋体" w:cs="Arial" w:hAnsi="Calibri"/>
      <w:kern w:val="2"/>
      <w:sz w:val="21"/>
      <w:szCs w:val="22"/>
      <w:lang w:val="en-US" w:eastAsia="zh-CN" w:bidi="ar-SA"/>
    </w:rPr>
  </w:style>
  <w:style w:type="paragraph" w:customStyle="1" w:styleId="96">
    <w:name w:val="样式 98 10 磅"/>
    <w:next w:val="61"/>
    <w:pPr>
      <w:widowControl w:val="0"/>
      <w:jc w:val="both"/>
    </w:pPr>
    <w:rPr>
      <w:rFonts w:ascii="Calibri" w:eastAsia="宋体" w:cs="Arial" w:hAnsi="Calibri"/>
      <w:kern w:val="2"/>
      <w:sz w:val="21"/>
      <w:szCs w:val="22"/>
      <w:lang w:val="en-US" w:eastAsia="zh-CN" w:bidi="ar-SA"/>
    </w:rPr>
  </w:style>
  <w:style w:type="paragraph" w:customStyle="1" w:styleId="97">
    <w:name w:val="样式 99 10 磅"/>
    <w:next w:val="62"/>
    <w:pPr>
      <w:widowControl w:val="0"/>
      <w:jc w:val="both"/>
    </w:pPr>
    <w:rPr>
      <w:rFonts w:ascii="Calibri" w:eastAsia="宋体" w:cs="Arial" w:hAnsi="Calibri"/>
      <w:kern w:val="2"/>
      <w:sz w:val="21"/>
      <w:szCs w:val="22"/>
      <w:lang w:val="en-US" w:eastAsia="zh-CN" w:bidi="ar-SA"/>
    </w:rPr>
  </w:style>
  <w:style w:type="paragraph" w:customStyle="1" w:styleId="98">
    <w:name w:val="样式 100 10 磅"/>
    <w:next w:val="63"/>
    <w:pPr>
      <w:widowControl w:val="0"/>
      <w:jc w:val="both"/>
    </w:pPr>
    <w:rPr>
      <w:rFonts w:ascii="Calibri" w:eastAsia="宋体" w:cs="Arial" w:hAnsi="Calibri"/>
      <w:kern w:val="2"/>
      <w:sz w:val="21"/>
      <w:szCs w:val="22"/>
      <w:lang w:val="en-US" w:eastAsia="zh-CN" w:bidi="ar-SA"/>
    </w:rPr>
  </w:style>
  <w:style w:type="paragraph" w:customStyle="1" w:styleId="99">
    <w:name w:val="样式 101 10 磅"/>
    <w:next w:val="64"/>
    <w:pPr>
      <w:widowControl w:val="0"/>
      <w:jc w:val="both"/>
    </w:pPr>
    <w:rPr>
      <w:rFonts w:ascii="Calibri" w:eastAsia="宋体" w:cs="Arial" w:hAnsi="Calibri"/>
      <w:kern w:val="2"/>
      <w:sz w:val="21"/>
      <w:szCs w:val="22"/>
      <w:lang w:val="en-US" w:eastAsia="zh-CN" w:bidi="ar-SA"/>
    </w:rPr>
  </w:style>
  <w:style w:type="paragraph" w:customStyle="1" w:styleId="100">
    <w:name w:val="样式 103 10 磅"/>
    <w:next w:val="65"/>
    <w:pPr>
      <w:widowControl w:val="0"/>
      <w:jc w:val="both"/>
    </w:pPr>
    <w:rPr>
      <w:rFonts w:ascii="Calibri" w:eastAsia="宋体" w:cs="Arial" w:hAnsi="Calibri"/>
      <w:kern w:val="2"/>
      <w:sz w:val="21"/>
      <w:szCs w:val="22"/>
      <w:lang w:val="en-US" w:eastAsia="zh-CN" w:bidi="ar-SA"/>
    </w:rPr>
  </w:style>
  <w:style w:type="paragraph" w:customStyle="1" w:styleId="101">
    <w:name w:val="样式 105 10 磅"/>
    <w:next w:val="66"/>
    <w:pPr>
      <w:widowControl w:val="0"/>
      <w:jc w:val="both"/>
    </w:pPr>
    <w:rPr>
      <w:rFonts w:ascii="Calibri" w:eastAsia="宋体" w:cs="Arial" w:hAnsi="Calibri"/>
      <w:kern w:val="2"/>
      <w:sz w:val="21"/>
      <w:szCs w:val="22"/>
      <w:lang w:val="en-US" w:eastAsia="zh-CN" w:bidi="ar-SA"/>
    </w:rPr>
  </w:style>
  <w:style w:type="paragraph" w:customStyle="1" w:styleId="102">
    <w:name w:val="样式 107 10 磅"/>
    <w:next w:val="68"/>
    <w:pPr>
      <w:widowControl w:val="0"/>
      <w:jc w:val="both"/>
    </w:pPr>
    <w:rPr>
      <w:rFonts w:ascii="Calibri" w:eastAsia="宋体" w:cs="Arial" w:hAnsi="Calibri"/>
      <w:kern w:val="2"/>
      <w:sz w:val="21"/>
      <w:szCs w:val="22"/>
      <w:lang w:val="en-US" w:eastAsia="zh-CN" w:bidi="ar-SA"/>
    </w:rPr>
  </w:style>
  <w:style w:type="paragraph" w:customStyle="1" w:styleId="103">
    <w:name w:val="样式 108 10 磅"/>
    <w:next w:val="69"/>
    <w:pPr>
      <w:widowControl w:val="0"/>
      <w:jc w:val="both"/>
    </w:pPr>
    <w:rPr>
      <w:rFonts w:ascii="Calibri" w:eastAsia="宋体" w:cs="Arial" w:hAnsi="Calibri"/>
      <w:kern w:val="2"/>
      <w:sz w:val="21"/>
      <w:szCs w:val="22"/>
      <w:lang w:val="en-US" w:eastAsia="zh-CN" w:bidi="ar-SA"/>
    </w:rPr>
  </w:style>
  <w:style w:type="paragraph" w:customStyle="1" w:styleId="104">
    <w:name w:val="样式 110 10 磅"/>
    <w:next w:val="71"/>
    <w:pPr>
      <w:widowControl w:val="0"/>
      <w:jc w:val="both"/>
    </w:pPr>
    <w:rPr>
      <w:rFonts w:ascii="Calibri" w:eastAsia="宋体" w:cs="Arial" w:hAnsi="Calibri"/>
      <w:kern w:val="2"/>
      <w:sz w:val="21"/>
      <w:szCs w:val="22"/>
      <w:lang w:val="en-US" w:eastAsia="zh-CN" w:bidi="ar-SA"/>
    </w:rPr>
  </w:style>
  <w:style w:type="paragraph" w:customStyle="1" w:styleId="105">
    <w:name w:val="样式 111 10 磅"/>
    <w:next w:val="72"/>
    <w:pPr>
      <w:widowControl w:val="0"/>
      <w:jc w:val="both"/>
    </w:pPr>
    <w:rPr>
      <w:rFonts w:ascii="Calibri" w:eastAsia="宋体" w:cs="Arial" w:hAnsi="Calibri"/>
      <w:kern w:val="2"/>
      <w:sz w:val="21"/>
      <w:szCs w:val="22"/>
      <w:lang w:val="en-US" w:eastAsia="zh-CN" w:bidi="ar-SA"/>
    </w:rPr>
  </w:style>
  <w:style w:type="paragraph" w:customStyle="1" w:styleId="106">
    <w:name w:val="样式 112 10 磅"/>
    <w:next w:val="73"/>
    <w:pPr>
      <w:widowControl w:val="0"/>
      <w:jc w:val="both"/>
    </w:pPr>
    <w:rPr>
      <w:rFonts w:ascii="Calibri" w:eastAsia="宋体" w:cs="Arial" w:hAnsi="Calibri"/>
      <w:kern w:val="2"/>
      <w:sz w:val="21"/>
      <w:szCs w:val="22"/>
      <w:lang w:val="en-US" w:eastAsia="zh-CN" w:bidi="ar-SA"/>
    </w:rPr>
  </w:style>
  <w:style w:type="paragraph" w:customStyle="1" w:styleId="107">
    <w:name w:val="样式 113 10 磅"/>
    <w:next w:val="74"/>
    <w:pPr>
      <w:widowControl w:val="0"/>
      <w:jc w:val="both"/>
    </w:pPr>
    <w:rPr>
      <w:rFonts w:ascii="Calibri" w:eastAsia="宋体" w:cs="Arial" w:hAnsi="Calibri"/>
      <w:kern w:val="2"/>
      <w:sz w:val="21"/>
      <w:szCs w:val="22"/>
      <w:lang w:val="en-US" w:eastAsia="zh-CN" w:bidi="ar-SA"/>
    </w:rPr>
  </w:style>
  <w:style w:type="paragraph" w:customStyle="1" w:styleId="108">
    <w:name w:val="样式 114 10 磅"/>
    <w:next w:val="75"/>
    <w:pPr>
      <w:widowControl w:val="0"/>
      <w:jc w:val="both"/>
    </w:pPr>
    <w:rPr>
      <w:rFonts w:ascii="Calibri" w:eastAsia="宋体" w:cs="Arial" w:hAnsi="Calibri"/>
      <w:kern w:val="2"/>
      <w:sz w:val="21"/>
      <w:szCs w:val="22"/>
      <w:lang w:val="en-US" w:eastAsia="zh-CN" w:bidi="ar-SA"/>
    </w:rPr>
  </w:style>
  <w:style w:type="paragraph" w:customStyle="1" w:styleId="109">
    <w:name w:val="样式 115 10 磅"/>
    <w:next w:val="76"/>
    <w:pPr>
      <w:widowControl w:val="0"/>
      <w:jc w:val="both"/>
    </w:pPr>
    <w:rPr>
      <w:rFonts w:ascii="Calibri" w:eastAsia="宋体" w:cs="Arial" w:hAnsi="Calibri"/>
      <w:kern w:val="2"/>
      <w:sz w:val="21"/>
      <w:szCs w:val="22"/>
      <w:lang w:val="en-US" w:eastAsia="zh-CN" w:bidi="ar-SA"/>
    </w:rPr>
  </w:style>
  <w:style w:type="paragraph" w:customStyle="1" w:styleId="110">
    <w:name w:val="样式 116 10 磅"/>
    <w:next w:val="77"/>
    <w:pPr>
      <w:widowControl w:val="0"/>
      <w:jc w:val="both"/>
    </w:pPr>
    <w:rPr>
      <w:rFonts w:ascii="Calibri" w:eastAsia="宋体" w:cs="Arial" w:hAnsi="Calibri"/>
      <w:kern w:val="2"/>
      <w:sz w:val="21"/>
      <w:szCs w:val="22"/>
      <w:lang w:val="en-US" w:eastAsia="zh-CN" w:bidi="ar-SA"/>
    </w:rPr>
  </w:style>
  <w:style w:type="paragraph" w:customStyle="1" w:styleId="111">
    <w:name w:val="样式 117 10 磅"/>
    <w:next w:val="78"/>
    <w:pPr>
      <w:widowControl w:val="0"/>
      <w:jc w:val="both"/>
    </w:pPr>
    <w:rPr>
      <w:rFonts w:ascii="Calibri" w:eastAsia="宋体" w:cs="Arial" w:hAnsi="Calibri"/>
      <w:kern w:val="2"/>
      <w:sz w:val="21"/>
      <w:szCs w:val="22"/>
      <w:lang w:val="en-US" w:eastAsia="zh-CN" w:bidi="ar-SA"/>
    </w:rPr>
  </w:style>
  <w:style w:type="paragraph" w:customStyle="1" w:styleId="112">
    <w:name w:val="样式 118 10 磅"/>
    <w:next w:val="79"/>
    <w:pPr>
      <w:widowControl w:val="0"/>
      <w:jc w:val="both"/>
    </w:pPr>
    <w:rPr>
      <w:rFonts w:ascii="Calibri" w:eastAsia="宋体" w:cs="Arial" w:hAnsi="Calibri"/>
      <w:kern w:val="2"/>
      <w:sz w:val="21"/>
      <w:szCs w:val="22"/>
      <w:lang w:val="en-US" w:eastAsia="zh-CN" w:bidi="ar-SA"/>
    </w:rPr>
  </w:style>
  <w:style w:type="paragraph" w:customStyle="1" w:styleId="113">
    <w:name w:val="样式 119 10 磅"/>
    <w:next w:val="80"/>
    <w:pPr>
      <w:widowControl w:val="0"/>
      <w:jc w:val="both"/>
    </w:pPr>
    <w:rPr>
      <w:rFonts w:ascii="Calibri" w:eastAsia="宋体" w:cs="Arial" w:hAnsi="Calibri"/>
      <w:kern w:val="2"/>
      <w:sz w:val="21"/>
      <w:szCs w:val="22"/>
      <w:lang w:val="en-US" w:eastAsia="zh-CN" w:bidi="ar-SA"/>
    </w:rPr>
  </w:style>
  <w:style w:type="paragraph" w:customStyle="1" w:styleId="114">
    <w:name w:val="样式 187 10 磅"/>
    <w:next w:val="148"/>
    <w:pPr>
      <w:widowControl w:val="0"/>
      <w:jc w:val="both"/>
    </w:pPr>
    <w:rPr>
      <w:rFonts w:ascii="Calibri" w:eastAsia="宋体" w:cs="Arial" w:hAnsi="Calibri"/>
      <w:kern w:val="2"/>
      <w:sz w:val="21"/>
      <w:szCs w:val="22"/>
      <w:lang w:val="en-US" w:eastAsia="zh-CN" w:bidi="ar-SA"/>
    </w:rPr>
  </w:style>
  <w:style w:type="paragraph" w:customStyle="1" w:styleId="115">
    <w:name w:val="样式 186 10 磅"/>
    <w:next w:val="147"/>
    <w:pPr>
      <w:widowControl w:val="0"/>
      <w:jc w:val="both"/>
    </w:pPr>
    <w:rPr>
      <w:rFonts w:ascii="Calibri" w:eastAsia="宋体" w:cs="Arial" w:hAnsi="Calibri"/>
      <w:kern w:val="2"/>
      <w:sz w:val="21"/>
      <w:szCs w:val="22"/>
      <w:lang w:val="en-US" w:eastAsia="zh-CN" w:bidi="ar-SA"/>
    </w:rPr>
  </w:style>
  <w:style w:type="paragraph" w:customStyle="1" w:styleId="116">
    <w:name w:val="样式 185 10 磅"/>
    <w:next w:val="146"/>
    <w:pPr>
      <w:widowControl w:val="0"/>
      <w:jc w:val="both"/>
    </w:pPr>
    <w:rPr>
      <w:rFonts w:ascii="Calibri" w:eastAsia="宋体" w:cs="Arial" w:hAnsi="Calibri"/>
      <w:kern w:val="2"/>
      <w:sz w:val="21"/>
      <w:szCs w:val="22"/>
      <w:lang w:val="en-US" w:eastAsia="zh-CN" w:bidi="ar-SA"/>
    </w:rPr>
  </w:style>
  <w:style w:type="paragraph" w:customStyle="1" w:styleId="117">
    <w:name w:val="样式 184 10 磅"/>
    <w:next w:val="145"/>
    <w:pPr>
      <w:widowControl w:val="0"/>
      <w:jc w:val="both"/>
    </w:pPr>
    <w:rPr>
      <w:rFonts w:ascii="Calibri" w:eastAsia="宋体" w:cs="Arial" w:hAnsi="Calibri"/>
      <w:kern w:val="2"/>
      <w:sz w:val="21"/>
      <w:szCs w:val="22"/>
      <w:lang w:val="en-US" w:eastAsia="zh-CN" w:bidi="ar-SA"/>
    </w:rPr>
  </w:style>
  <w:style w:type="paragraph" w:customStyle="1" w:styleId="118">
    <w:name w:val="样式 183 10 磅"/>
    <w:next w:val="144"/>
    <w:pPr>
      <w:widowControl w:val="0"/>
      <w:jc w:val="both"/>
    </w:pPr>
    <w:rPr>
      <w:rFonts w:ascii="Calibri" w:eastAsia="宋体" w:cs="Arial" w:hAnsi="Calibri"/>
      <w:kern w:val="2"/>
      <w:sz w:val="21"/>
      <w:szCs w:val="22"/>
      <w:lang w:val="en-US" w:eastAsia="zh-CN" w:bidi="ar-SA"/>
    </w:rPr>
  </w:style>
  <w:style w:type="paragraph" w:customStyle="1" w:styleId="119">
    <w:name w:val="样式 179 10 磅"/>
    <w:next w:val="140"/>
    <w:pPr>
      <w:widowControl w:val="0"/>
      <w:jc w:val="both"/>
    </w:pPr>
    <w:rPr>
      <w:rFonts w:ascii="Calibri" w:eastAsia="宋体" w:cs="Arial" w:hAnsi="Calibri"/>
      <w:kern w:val="2"/>
      <w:sz w:val="21"/>
      <w:szCs w:val="22"/>
      <w:lang w:val="en-US" w:eastAsia="zh-CN" w:bidi="ar-SA"/>
    </w:rPr>
  </w:style>
  <w:style w:type="paragraph" w:customStyle="1" w:styleId="120">
    <w:name w:val="样式 178 10 磅"/>
    <w:next w:val="139"/>
    <w:pPr>
      <w:widowControl w:val="0"/>
      <w:jc w:val="both"/>
    </w:pPr>
    <w:rPr>
      <w:rFonts w:ascii="Calibri" w:eastAsia="宋体" w:cs="Arial" w:hAnsi="Calibri"/>
      <w:kern w:val="2"/>
      <w:sz w:val="21"/>
      <w:szCs w:val="22"/>
      <w:lang w:val="en-US" w:eastAsia="zh-CN" w:bidi="ar-SA"/>
    </w:rPr>
  </w:style>
  <w:style w:type="paragraph" w:customStyle="1" w:styleId="121">
    <w:name w:val="样式 177 10 磅"/>
    <w:next w:val="138"/>
    <w:pPr>
      <w:widowControl w:val="0"/>
      <w:jc w:val="both"/>
    </w:pPr>
    <w:rPr>
      <w:rFonts w:ascii="Calibri" w:eastAsia="宋体" w:cs="Arial" w:hAnsi="Calibri"/>
      <w:kern w:val="2"/>
      <w:sz w:val="21"/>
      <w:szCs w:val="22"/>
      <w:lang w:val="en-US" w:eastAsia="zh-CN" w:bidi="ar-SA"/>
    </w:rPr>
  </w:style>
  <w:style w:type="paragraph" w:customStyle="1" w:styleId="122">
    <w:name w:val="样式 176 10 磅"/>
    <w:next w:val="137"/>
    <w:pPr>
      <w:widowControl w:val="0"/>
      <w:jc w:val="both"/>
    </w:pPr>
    <w:rPr>
      <w:rFonts w:ascii="Calibri" w:eastAsia="宋体" w:cs="Arial" w:hAnsi="Calibri"/>
      <w:kern w:val="2"/>
      <w:sz w:val="21"/>
      <w:szCs w:val="22"/>
      <w:lang w:val="en-US" w:eastAsia="zh-CN" w:bidi="ar-SA"/>
    </w:rPr>
  </w:style>
  <w:style w:type="paragraph" w:customStyle="1" w:styleId="123">
    <w:name w:val="样式 175 10 磅"/>
    <w:next w:val="136"/>
    <w:pPr>
      <w:widowControl w:val="0"/>
      <w:jc w:val="both"/>
    </w:pPr>
    <w:rPr>
      <w:rFonts w:ascii="Calibri" w:eastAsia="宋体" w:cs="Arial" w:hAnsi="Calibri"/>
      <w:kern w:val="2"/>
      <w:sz w:val="21"/>
      <w:szCs w:val="22"/>
      <w:lang w:val="en-US" w:eastAsia="zh-CN" w:bidi="ar-SA"/>
    </w:rPr>
  </w:style>
  <w:style w:type="paragraph" w:customStyle="1" w:styleId="124">
    <w:name w:val="样式 174 10 磅"/>
    <w:next w:val="135"/>
    <w:pPr>
      <w:widowControl w:val="0"/>
      <w:jc w:val="both"/>
    </w:pPr>
    <w:rPr>
      <w:rFonts w:ascii="Calibri" w:eastAsia="宋体" w:cs="Arial" w:hAnsi="Calibri"/>
      <w:kern w:val="2"/>
      <w:sz w:val="21"/>
      <w:szCs w:val="22"/>
      <w:lang w:val="en-US" w:eastAsia="zh-CN" w:bidi="ar-SA"/>
    </w:rPr>
  </w:style>
  <w:style w:type="paragraph" w:customStyle="1" w:styleId="125">
    <w:name w:val="样式 193 10 磅"/>
    <w:next w:val="154"/>
    <w:pPr>
      <w:widowControl w:val="0"/>
      <w:jc w:val="both"/>
    </w:pPr>
    <w:rPr>
      <w:rFonts w:ascii="Calibri" w:eastAsia="宋体" w:cs="Arial" w:hAnsi="Calibri"/>
      <w:kern w:val="2"/>
      <w:sz w:val="21"/>
      <w:szCs w:val="22"/>
      <w:lang w:val="en-US" w:eastAsia="zh-CN" w:bidi="ar-SA"/>
    </w:rPr>
  </w:style>
  <w:style w:type="paragraph" w:customStyle="1" w:styleId="126">
    <w:name w:val="样式 172 10 磅"/>
    <w:next w:val="133"/>
    <w:pPr>
      <w:widowControl w:val="0"/>
      <w:jc w:val="both"/>
    </w:pPr>
    <w:rPr>
      <w:rFonts w:ascii="Calibri" w:eastAsia="宋体" w:cs="Arial" w:hAnsi="Calibri"/>
      <w:kern w:val="2"/>
      <w:sz w:val="21"/>
      <w:szCs w:val="22"/>
      <w:lang w:val="en-US" w:eastAsia="zh-CN" w:bidi="ar-SA"/>
    </w:rPr>
  </w:style>
  <w:style w:type="paragraph" w:customStyle="1" w:styleId="127">
    <w:name w:val="样式 171 10 磅"/>
    <w:next w:val="132"/>
    <w:pPr>
      <w:widowControl w:val="0"/>
      <w:jc w:val="both"/>
    </w:pPr>
    <w:rPr>
      <w:rFonts w:ascii="Calibri" w:eastAsia="宋体" w:cs="Arial" w:hAnsi="Calibri"/>
      <w:kern w:val="2"/>
      <w:sz w:val="21"/>
      <w:szCs w:val="22"/>
      <w:lang w:val="en-US" w:eastAsia="zh-CN" w:bidi="ar-SA"/>
    </w:rPr>
  </w:style>
  <w:style w:type="paragraph" w:customStyle="1" w:styleId="128">
    <w:name w:val="样式 167 10 磅"/>
    <w:pPr>
      <w:widowControl w:val="0"/>
      <w:jc w:val="both"/>
    </w:pPr>
    <w:rPr>
      <w:rFonts w:ascii="Calibri" w:eastAsia="宋体" w:cs="Arial" w:hAnsi="Calibri"/>
      <w:kern w:val="2"/>
      <w:sz w:val="21"/>
      <w:szCs w:val="22"/>
      <w:lang w:val="en-US" w:eastAsia="zh-CN" w:bidi="ar-SA"/>
    </w:rPr>
  </w:style>
  <w:style w:type="paragraph" w:customStyle="1" w:styleId="129">
    <w:name w:val="样式 166 10 磅"/>
    <w:next w:val="127"/>
    <w:pPr>
      <w:widowControl w:val="0"/>
      <w:jc w:val="both"/>
    </w:pPr>
    <w:rPr>
      <w:rFonts w:ascii="Calibri" w:eastAsia="宋体" w:cs="Arial" w:hAnsi="Calibri"/>
      <w:kern w:val="2"/>
      <w:sz w:val="21"/>
      <w:szCs w:val="22"/>
      <w:lang w:val="en-US" w:eastAsia="zh-CN" w:bidi="ar-SA"/>
    </w:rPr>
  </w:style>
  <w:style w:type="paragraph" w:customStyle="1" w:styleId="130">
    <w:name w:val="样式 165 10 磅"/>
    <w:next w:val="126"/>
    <w:pPr>
      <w:widowControl w:val="0"/>
      <w:jc w:val="both"/>
    </w:pPr>
    <w:rPr>
      <w:rFonts w:ascii="Calibri" w:eastAsia="宋体" w:cs="Arial" w:hAnsi="Calibri"/>
      <w:kern w:val="2"/>
      <w:sz w:val="21"/>
      <w:szCs w:val="22"/>
      <w:lang w:val="en-US" w:eastAsia="zh-CN" w:bidi="ar-SA"/>
    </w:rPr>
  </w:style>
  <w:style w:type="paragraph" w:customStyle="1" w:styleId="131">
    <w:name w:val="样式 164 10 磅"/>
    <w:next w:val="125"/>
    <w:pPr>
      <w:widowControl w:val="0"/>
      <w:jc w:val="both"/>
    </w:pPr>
    <w:rPr>
      <w:rFonts w:ascii="Calibri" w:eastAsia="宋体" w:cs="Arial" w:hAnsi="Calibri"/>
      <w:kern w:val="2"/>
      <w:sz w:val="21"/>
      <w:szCs w:val="22"/>
      <w:lang w:val="en-US" w:eastAsia="zh-CN" w:bidi="ar-SA"/>
    </w:rPr>
  </w:style>
  <w:style w:type="paragraph" w:customStyle="1" w:styleId="132">
    <w:name w:val="样式 154 10 磅"/>
    <w:next w:val="115"/>
    <w:pPr>
      <w:widowControl w:val="0"/>
      <w:jc w:val="both"/>
    </w:pPr>
    <w:rPr>
      <w:rFonts w:ascii="Calibri" w:eastAsia="宋体" w:cs="Arial" w:hAnsi="Calibri"/>
      <w:kern w:val="2"/>
      <w:sz w:val="21"/>
      <w:szCs w:val="22"/>
      <w:lang w:val="en-US" w:eastAsia="zh-CN" w:bidi="ar-SA"/>
    </w:rPr>
  </w:style>
  <w:style w:type="paragraph" w:customStyle="1" w:styleId="133">
    <w:name w:val="样式 153 10 磅"/>
    <w:next w:val="114"/>
    <w:pPr>
      <w:widowControl w:val="0"/>
      <w:jc w:val="both"/>
    </w:pPr>
    <w:rPr>
      <w:rFonts w:ascii="Calibri" w:eastAsia="宋体" w:cs="Arial" w:hAnsi="Calibri"/>
      <w:kern w:val="2"/>
      <w:sz w:val="21"/>
      <w:szCs w:val="22"/>
      <w:lang w:val="en-US" w:eastAsia="zh-CN" w:bidi="ar-SA"/>
    </w:rPr>
  </w:style>
  <w:style w:type="paragraph" w:customStyle="1" w:styleId="134">
    <w:name w:val="样式 152 10 磅"/>
    <w:next w:val="113"/>
    <w:pPr>
      <w:widowControl w:val="0"/>
      <w:jc w:val="both"/>
    </w:pPr>
    <w:rPr>
      <w:rFonts w:ascii="Calibri" w:eastAsia="宋体" w:cs="Arial" w:hAnsi="Calibri"/>
      <w:kern w:val="2"/>
      <w:sz w:val="21"/>
      <w:szCs w:val="22"/>
      <w:lang w:val="en-US" w:eastAsia="zh-CN" w:bidi="ar-SA"/>
    </w:rPr>
  </w:style>
  <w:style w:type="paragraph" w:customStyle="1" w:styleId="135">
    <w:name w:val="样式 151 10 磅"/>
    <w:next w:val="112"/>
    <w:pPr>
      <w:widowControl w:val="0"/>
      <w:jc w:val="both"/>
    </w:pPr>
    <w:rPr>
      <w:rFonts w:ascii="Calibri" w:eastAsia="宋体" w:cs="Arial" w:hAnsi="Calibri"/>
      <w:kern w:val="2"/>
      <w:sz w:val="21"/>
      <w:szCs w:val="22"/>
      <w:lang w:val="en-US" w:eastAsia="zh-CN" w:bidi="ar-SA"/>
    </w:rPr>
  </w:style>
  <w:style w:type="paragraph" w:customStyle="1" w:styleId="136">
    <w:name w:val="样式 150 10 磅"/>
    <w:next w:val="111"/>
    <w:pPr>
      <w:widowControl w:val="0"/>
      <w:jc w:val="both"/>
    </w:pPr>
    <w:rPr>
      <w:rFonts w:ascii="Calibri" w:eastAsia="宋体" w:cs="Arial" w:hAnsi="Calibri"/>
      <w:kern w:val="2"/>
      <w:sz w:val="21"/>
      <w:szCs w:val="22"/>
      <w:lang w:val="en-US" w:eastAsia="zh-CN" w:bidi="ar-SA"/>
    </w:rPr>
  </w:style>
  <w:style w:type="paragraph" w:customStyle="1" w:styleId="137">
    <w:name w:val="样式 149 10 磅"/>
    <w:next w:val="110"/>
    <w:pPr>
      <w:widowControl w:val="0"/>
      <w:jc w:val="both"/>
    </w:pPr>
    <w:rPr>
      <w:rFonts w:ascii="Calibri" w:eastAsia="宋体" w:cs="Arial" w:hAnsi="Calibri"/>
      <w:kern w:val="2"/>
      <w:sz w:val="21"/>
      <w:szCs w:val="22"/>
      <w:lang w:val="en-US" w:eastAsia="zh-CN" w:bidi="ar-SA"/>
    </w:rPr>
  </w:style>
  <w:style w:type="paragraph" w:customStyle="1" w:styleId="138">
    <w:name w:val="样式 148 10 磅"/>
    <w:next w:val="109"/>
    <w:pPr>
      <w:widowControl w:val="0"/>
      <w:jc w:val="both"/>
    </w:pPr>
    <w:rPr>
      <w:rFonts w:ascii="Calibri" w:eastAsia="宋体" w:cs="Arial" w:hAnsi="Calibri"/>
      <w:kern w:val="2"/>
      <w:sz w:val="21"/>
      <w:szCs w:val="22"/>
      <w:lang w:val="en-US" w:eastAsia="zh-CN" w:bidi="ar-SA"/>
    </w:rPr>
  </w:style>
  <w:style w:type="paragraph" w:customStyle="1" w:styleId="139">
    <w:name w:val="样式 147 10 磅"/>
    <w:next w:val="108"/>
    <w:pPr>
      <w:widowControl w:val="0"/>
      <w:jc w:val="both"/>
    </w:pPr>
    <w:rPr>
      <w:rFonts w:ascii="Calibri" w:eastAsia="宋体" w:cs="Arial" w:hAnsi="Calibri"/>
      <w:kern w:val="2"/>
      <w:sz w:val="21"/>
      <w:szCs w:val="22"/>
      <w:lang w:val="en-US" w:eastAsia="zh-CN" w:bidi="ar-SA"/>
    </w:rPr>
  </w:style>
  <w:style w:type="paragraph" w:customStyle="1" w:styleId="140">
    <w:name w:val="样式 146 10 磅"/>
    <w:next w:val="107"/>
    <w:pPr>
      <w:widowControl w:val="0"/>
      <w:jc w:val="both"/>
    </w:pPr>
    <w:rPr>
      <w:rFonts w:ascii="Calibri" w:eastAsia="宋体" w:cs="Arial" w:hAnsi="Calibri"/>
      <w:kern w:val="2"/>
      <w:sz w:val="21"/>
      <w:szCs w:val="22"/>
      <w:lang w:val="en-US" w:eastAsia="zh-CN" w:bidi="ar-SA"/>
    </w:rPr>
  </w:style>
  <w:style w:type="paragraph" w:customStyle="1" w:styleId="141">
    <w:name w:val="样式 145 10 磅"/>
    <w:next w:val="106"/>
    <w:pPr>
      <w:widowControl w:val="0"/>
      <w:jc w:val="both"/>
    </w:pPr>
    <w:rPr>
      <w:rFonts w:ascii="Calibri" w:eastAsia="宋体" w:cs="Arial" w:hAnsi="Calibri"/>
      <w:kern w:val="2"/>
      <w:sz w:val="21"/>
      <w:szCs w:val="22"/>
      <w:lang w:val="en-US" w:eastAsia="zh-CN" w:bidi="ar-SA"/>
    </w:rPr>
  </w:style>
  <w:style w:type="paragraph" w:customStyle="1" w:styleId="142">
    <w:name w:val="样式 144 10 磅"/>
    <w:next w:val="105"/>
    <w:pPr>
      <w:widowControl w:val="0"/>
      <w:jc w:val="both"/>
    </w:pPr>
    <w:rPr>
      <w:rFonts w:ascii="Calibri" w:eastAsia="宋体" w:cs="Arial" w:hAnsi="Calibri"/>
      <w:kern w:val="2"/>
      <w:sz w:val="21"/>
      <w:szCs w:val="22"/>
      <w:lang w:val="en-US" w:eastAsia="zh-CN" w:bidi="ar-SA"/>
    </w:rPr>
  </w:style>
  <w:style w:type="paragraph" w:customStyle="1" w:styleId="143">
    <w:name w:val="样式 143 10 磅"/>
    <w:next w:val="104"/>
    <w:pPr>
      <w:widowControl w:val="0"/>
      <w:jc w:val="both"/>
    </w:pPr>
    <w:rPr>
      <w:rFonts w:ascii="Calibri" w:eastAsia="宋体" w:cs="Arial" w:hAnsi="Calibri"/>
      <w:kern w:val="2"/>
      <w:sz w:val="21"/>
      <w:szCs w:val="22"/>
      <w:lang w:val="en-US" w:eastAsia="zh-CN" w:bidi="ar-SA"/>
    </w:rPr>
  </w:style>
  <w:style w:type="paragraph" w:customStyle="1" w:styleId="144">
    <w:name w:val="样式 142 10 磅"/>
    <w:next w:val="103"/>
    <w:pPr>
      <w:widowControl w:val="0"/>
      <w:jc w:val="both"/>
    </w:pPr>
    <w:rPr>
      <w:rFonts w:ascii="Calibri" w:eastAsia="宋体" w:cs="Arial" w:hAnsi="Calibri"/>
      <w:kern w:val="2"/>
      <w:sz w:val="21"/>
      <w:szCs w:val="22"/>
      <w:lang w:val="en-US" w:eastAsia="zh-CN" w:bidi="ar-SA"/>
    </w:rPr>
  </w:style>
  <w:style w:type="paragraph" w:customStyle="1" w:styleId="145">
    <w:name w:val="样式 141 10 磅"/>
    <w:next w:val="102"/>
    <w:pPr>
      <w:widowControl w:val="0"/>
      <w:jc w:val="both"/>
    </w:pPr>
    <w:rPr>
      <w:rFonts w:ascii="Calibri" w:eastAsia="宋体" w:cs="Arial" w:hAnsi="Calibri"/>
      <w:kern w:val="2"/>
      <w:sz w:val="21"/>
      <w:szCs w:val="22"/>
      <w:lang w:val="en-US" w:eastAsia="zh-CN" w:bidi="ar-SA"/>
    </w:rPr>
  </w:style>
  <w:style w:type="paragraph" w:customStyle="1" w:styleId="146">
    <w:name w:val="样式 140 10 磅"/>
    <w:next w:val="101"/>
    <w:pPr>
      <w:widowControl w:val="0"/>
      <w:jc w:val="both"/>
    </w:pPr>
    <w:rPr>
      <w:rFonts w:ascii="Calibri" w:eastAsia="宋体" w:cs="Arial" w:hAnsi="Calibri"/>
      <w:kern w:val="2"/>
      <w:sz w:val="21"/>
      <w:szCs w:val="22"/>
      <w:lang w:val="en-US" w:eastAsia="zh-CN" w:bidi="ar-SA"/>
    </w:rPr>
  </w:style>
  <w:style w:type="paragraph" w:customStyle="1" w:styleId="147">
    <w:name w:val="样式 139 10 磅"/>
    <w:next w:val="100"/>
    <w:pPr>
      <w:widowControl w:val="0"/>
      <w:jc w:val="both"/>
    </w:pPr>
    <w:rPr>
      <w:rFonts w:ascii="Calibri" w:eastAsia="宋体" w:cs="Arial" w:hAnsi="Calibri"/>
      <w:kern w:val="2"/>
      <w:sz w:val="21"/>
      <w:szCs w:val="22"/>
      <w:lang w:val="en-US" w:eastAsia="zh-CN" w:bidi="ar-SA"/>
    </w:rPr>
  </w:style>
  <w:style w:type="paragraph" w:customStyle="1" w:styleId="148">
    <w:name w:val="样式 138 10 磅"/>
    <w:next w:val="99"/>
    <w:pPr>
      <w:widowControl w:val="0"/>
      <w:jc w:val="both"/>
    </w:pPr>
    <w:rPr>
      <w:rFonts w:ascii="Calibri" w:eastAsia="宋体" w:cs="Arial" w:hAnsi="Calibri"/>
      <w:kern w:val="2"/>
      <w:sz w:val="21"/>
      <w:szCs w:val="22"/>
      <w:lang w:val="en-US" w:eastAsia="zh-CN" w:bidi="ar-SA"/>
    </w:rPr>
  </w:style>
  <w:style w:type="paragraph" w:customStyle="1" w:styleId="149">
    <w:name w:val="样式 137 10 磅"/>
    <w:next w:val="98"/>
    <w:pPr>
      <w:widowControl w:val="0"/>
      <w:jc w:val="both"/>
    </w:pPr>
    <w:rPr>
      <w:rFonts w:ascii="Calibri" w:eastAsia="宋体" w:cs="Arial" w:hAnsi="Calibri"/>
      <w:kern w:val="2"/>
      <w:sz w:val="21"/>
      <w:szCs w:val="22"/>
      <w:lang w:val="en-US" w:eastAsia="zh-CN" w:bidi="ar-SA"/>
    </w:rPr>
  </w:style>
  <w:style w:type="paragraph" w:customStyle="1" w:styleId="150">
    <w:name w:val="样式 136 10 磅"/>
    <w:next w:val="97"/>
    <w:pPr>
      <w:widowControl w:val="0"/>
      <w:jc w:val="both"/>
    </w:pPr>
    <w:rPr>
      <w:rFonts w:ascii="Calibri" w:eastAsia="宋体" w:cs="Arial" w:hAnsi="Calibri"/>
      <w:kern w:val="2"/>
      <w:sz w:val="21"/>
      <w:szCs w:val="22"/>
      <w:lang w:val="en-US" w:eastAsia="zh-CN" w:bidi="ar-SA"/>
    </w:rPr>
  </w:style>
  <w:style w:type="paragraph" w:customStyle="1" w:styleId="151">
    <w:name w:val="样式 135 10 磅"/>
    <w:next w:val="96"/>
    <w:pPr>
      <w:widowControl w:val="0"/>
      <w:jc w:val="both"/>
    </w:pPr>
    <w:rPr>
      <w:rFonts w:ascii="Calibri" w:eastAsia="宋体" w:cs="Arial" w:hAnsi="Calibri"/>
      <w:kern w:val="2"/>
      <w:sz w:val="21"/>
      <w:szCs w:val="22"/>
      <w:lang w:val="en-US" w:eastAsia="zh-CN" w:bidi="ar-SA"/>
    </w:rPr>
  </w:style>
  <w:style w:type="paragraph" w:customStyle="1" w:styleId="152">
    <w:name w:val="样式 134 10 磅"/>
    <w:next w:val="95"/>
    <w:pPr>
      <w:widowControl w:val="0"/>
      <w:jc w:val="both"/>
    </w:pPr>
    <w:rPr>
      <w:rFonts w:ascii="Calibri" w:eastAsia="宋体" w:cs="Arial" w:hAnsi="Calibri"/>
      <w:kern w:val="2"/>
      <w:sz w:val="21"/>
      <w:szCs w:val="22"/>
      <w:lang w:val="en-US" w:eastAsia="zh-CN" w:bidi="ar-SA"/>
    </w:rPr>
  </w:style>
  <w:style w:type="paragraph" w:customStyle="1" w:styleId="153">
    <w:name w:val="样式 133 10 磅"/>
    <w:next w:val="94"/>
    <w:pPr>
      <w:widowControl w:val="0"/>
      <w:jc w:val="both"/>
    </w:pPr>
    <w:rPr>
      <w:rFonts w:ascii="Calibri" w:eastAsia="宋体" w:cs="Arial" w:hAnsi="Calibri"/>
      <w:kern w:val="2"/>
      <w:sz w:val="21"/>
      <w:szCs w:val="22"/>
      <w:lang w:val="en-US" w:eastAsia="zh-CN" w:bidi="ar-SA"/>
    </w:rPr>
  </w:style>
  <w:style w:type="paragraph" w:customStyle="1" w:styleId="154">
    <w:name w:val="样式 132 10 磅"/>
    <w:next w:val="93"/>
    <w:pPr>
      <w:widowControl w:val="0"/>
      <w:jc w:val="both"/>
    </w:pPr>
    <w:rPr>
      <w:rFonts w:ascii="Calibri" w:eastAsia="宋体" w:cs="Arial" w:hAnsi="Calibri"/>
      <w:kern w:val="2"/>
      <w:sz w:val="21"/>
      <w:szCs w:val="22"/>
      <w:lang w:val="en-US" w:eastAsia="zh-CN" w:bidi="ar-SA"/>
    </w:rPr>
  </w:style>
  <w:style w:type="paragraph" w:customStyle="1" w:styleId="155">
    <w:name w:val="样式 131 10 磅"/>
    <w:next w:val="92"/>
    <w:pPr>
      <w:widowControl w:val="0"/>
      <w:jc w:val="both"/>
    </w:pPr>
    <w:rPr>
      <w:rFonts w:ascii="Calibri" w:eastAsia="宋体" w:cs="Arial" w:hAnsi="Calibri"/>
      <w:kern w:val="2"/>
      <w:sz w:val="21"/>
      <w:szCs w:val="22"/>
      <w:lang w:val="en-US" w:eastAsia="zh-CN" w:bidi="ar-SA"/>
    </w:rPr>
  </w:style>
  <w:style w:type="paragraph" w:customStyle="1" w:styleId="156">
    <w:name w:val="样式 130 10 磅"/>
    <w:next w:val="91"/>
    <w:pPr>
      <w:widowControl w:val="0"/>
      <w:jc w:val="both"/>
    </w:pPr>
    <w:rPr>
      <w:rFonts w:ascii="Calibri" w:eastAsia="宋体" w:cs="Arial" w:hAnsi="Calibri"/>
      <w:kern w:val="2"/>
      <w:sz w:val="21"/>
      <w:szCs w:val="22"/>
      <w:lang w:val="en-US" w:eastAsia="zh-CN" w:bidi="ar-SA"/>
    </w:rPr>
  </w:style>
  <w:style w:type="paragraph" w:customStyle="1" w:styleId="157">
    <w:name w:val="样式 129 10 磅"/>
    <w:next w:val="90"/>
    <w:pPr>
      <w:widowControl w:val="0"/>
      <w:jc w:val="both"/>
    </w:pPr>
    <w:rPr>
      <w:rFonts w:ascii="Calibri" w:eastAsia="宋体" w:cs="Arial" w:hAnsi="Calibri"/>
      <w:kern w:val="2"/>
      <w:sz w:val="21"/>
      <w:szCs w:val="22"/>
      <w:lang w:val="en-US" w:eastAsia="zh-CN" w:bidi="ar-SA"/>
    </w:rPr>
  </w:style>
  <w:style w:type="paragraph" w:customStyle="1" w:styleId="158">
    <w:name w:val="样式 128 10 磅"/>
    <w:next w:val="89"/>
    <w:pPr>
      <w:widowControl w:val="0"/>
      <w:jc w:val="both"/>
    </w:pPr>
    <w:rPr>
      <w:rFonts w:ascii="Calibri" w:eastAsia="宋体" w:cs="Arial" w:hAnsi="Calibri"/>
      <w:kern w:val="2"/>
      <w:sz w:val="21"/>
      <w:szCs w:val="22"/>
      <w:lang w:val="en-US" w:eastAsia="zh-CN" w:bidi="ar-SA"/>
    </w:rPr>
  </w:style>
  <w:style w:type="paragraph" w:customStyle="1" w:styleId="159">
    <w:name w:val="样式 127 10 磅"/>
    <w:next w:val="88"/>
    <w:pPr>
      <w:widowControl w:val="0"/>
      <w:jc w:val="both"/>
    </w:pPr>
    <w:rPr>
      <w:rFonts w:ascii="Calibri" w:eastAsia="宋体" w:cs="Arial" w:hAnsi="Calibri"/>
      <w:kern w:val="2"/>
      <w:sz w:val="21"/>
      <w:szCs w:val="22"/>
      <w:lang w:val="en-US" w:eastAsia="zh-CN" w:bidi="ar-SA"/>
    </w:rPr>
  </w:style>
  <w:style w:type="paragraph" w:customStyle="1" w:styleId="160">
    <w:name w:val="样式 126 10 磅"/>
    <w:next w:val="87"/>
    <w:pPr>
      <w:widowControl w:val="0"/>
      <w:jc w:val="both"/>
    </w:pPr>
    <w:rPr>
      <w:rFonts w:ascii="Calibri" w:eastAsia="宋体" w:cs="Arial" w:hAnsi="Calibri"/>
      <w:kern w:val="2"/>
      <w:sz w:val="21"/>
      <w:szCs w:val="22"/>
      <w:lang w:val="en-US" w:eastAsia="zh-CN" w:bidi="ar-SA"/>
    </w:rPr>
  </w:style>
  <w:style w:type="paragraph" w:customStyle="1" w:styleId="161">
    <w:name w:val="样式 125 10 磅"/>
    <w:next w:val="86"/>
    <w:pPr>
      <w:widowControl w:val="0"/>
      <w:jc w:val="both"/>
    </w:pPr>
    <w:rPr>
      <w:rFonts w:ascii="Calibri" w:eastAsia="宋体" w:cs="Arial" w:hAnsi="Calibri"/>
      <w:kern w:val="2"/>
      <w:sz w:val="21"/>
      <w:szCs w:val="22"/>
      <w:lang w:val="en-US" w:eastAsia="zh-CN" w:bidi="ar-SA"/>
    </w:rPr>
  </w:style>
  <w:style w:type="paragraph" w:customStyle="1" w:styleId="162">
    <w:name w:val="样式 124 10 磅"/>
    <w:next w:val="85"/>
    <w:pPr>
      <w:widowControl w:val="0"/>
      <w:jc w:val="both"/>
    </w:pPr>
    <w:rPr>
      <w:rFonts w:ascii="Calibri" w:eastAsia="宋体" w:cs="Arial" w:hAnsi="Calibri"/>
      <w:kern w:val="2"/>
      <w:sz w:val="21"/>
      <w:szCs w:val="22"/>
      <w:lang w:val="en-US" w:eastAsia="zh-CN" w:bidi="ar-SA"/>
    </w:rPr>
  </w:style>
  <w:style w:type="paragraph" w:customStyle="1" w:styleId="163">
    <w:name w:val="样式 123 10 磅"/>
    <w:next w:val="84"/>
    <w:pPr>
      <w:widowControl w:val="0"/>
      <w:jc w:val="both"/>
    </w:pPr>
    <w:rPr>
      <w:rFonts w:ascii="Calibri" w:eastAsia="宋体" w:cs="Arial" w:hAnsi="Calibri"/>
      <w:kern w:val="2"/>
      <w:sz w:val="21"/>
      <w:szCs w:val="22"/>
      <w:lang w:val="en-US" w:eastAsia="zh-CN" w:bidi="ar-SA"/>
    </w:rPr>
  </w:style>
  <w:style w:type="paragraph" w:customStyle="1" w:styleId="164">
    <w:name w:val="样式 122 10 磅"/>
    <w:next w:val="83"/>
    <w:pPr>
      <w:widowControl w:val="0"/>
      <w:jc w:val="both"/>
    </w:pPr>
    <w:rPr>
      <w:rFonts w:ascii="Calibri" w:eastAsia="宋体" w:cs="Arial" w:hAnsi="Calibri"/>
      <w:kern w:val="2"/>
      <w:sz w:val="21"/>
      <w:szCs w:val="22"/>
      <w:lang w:val="en-US" w:eastAsia="zh-CN" w:bidi="ar-SA"/>
    </w:rPr>
  </w:style>
  <w:style w:type="paragraph" w:customStyle="1" w:styleId="165">
    <w:name w:val="样式 120 10 磅"/>
    <w:next w:val="81"/>
    <w:pPr>
      <w:widowControl w:val="0"/>
      <w:jc w:val="both"/>
    </w:pPr>
    <w:rPr>
      <w:rFonts w:ascii="Calibri" w:eastAsia="宋体" w:cs="Arial" w:hAnsi="Calibri"/>
      <w:kern w:val="2"/>
      <w:sz w:val="21"/>
      <w:szCs w:val="22"/>
      <w:lang w:val="en-US" w:eastAsia="zh-CN" w:bidi="ar-SA"/>
    </w:rPr>
  </w:style>
  <w:style w:type="paragraph" w:styleId="166">
    <w:name w:val="toc 9"/>
    <w:basedOn w:val="0"/>
    <w:autoRedefine/>
    <w:next w:val="0"/>
    <w:pPr>
      <w:ind w:left="3360"/>
    </w:pPr>
  </w:style>
  <w:style w:type="paragraph" w:styleId="167">
    <w:name w:val="Normal Indent"/>
    <w:basedOn w:val="0"/>
    <w:pPr>
      <w:ind w:firstLine="420"/>
    </w:pPr>
  </w:style>
  <w:style w:type="paragraph" w:styleId="168">
    <w:name w:val="footnote text"/>
    <w:basedOn w:val="0"/>
    <w:pPr>
      <w:snapToGrid w:val="0"/>
      <w:jc w:val="left"/>
    </w:pPr>
    <w:rPr>
      <w:sz w:val="18"/>
    </w:rPr>
  </w:style>
  <w:style w:type="paragraph" w:styleId="169">
    <w:name w:val="index heading"/>
    <w:basedOn w:val="0"/>
    <w:rPr>
      <w:rFonts w:ascii="Arial" w:hAnsi="Arial"/>
      <w:b/>
    </w:rPr>
  </w:style>
  <w:style w:type="paragraph" w:styleId="170">
    <w:name w:val="caption"/>
    <w:basedOn w:val="0"/>
    <w:next w:val="0"/>
    <w:rPr>
      <w:rFonts w:ascii="Arial" w:eastAsia="黑体" w:hAnsi="Arial"/>
      <w:b/>
      <w:sz w:val="20"/>
    </w:rPr>
  </w:style>
  <w:style w:type="paragraph" w:styleId="171">
    <w:name w:val="table of figures"/>
    <w:basedOn w:val="0"/>
    <w:next w:val="0"/>
  </w:style>
  <w:style w:type="paragraph" w:styleId="172">
    <w:name w:val="envelope address"/>
    <w:basedOn w:val="0"/>
    <w:pPr>
      <w:snapToGrid w:val="0"/>
      <w:ind w:left="2880"/>
    </w:pPr>
    <w:rPr>
      <w:rFonts w:ascii="Arial" w:hAnsi="Arial"/>
      <w:sz w:val="24"/>
    </w:rPr>
  </w:style>
  <w:style w:type="paragraph" w:styleId="173">
    <w:name w:val="envelope return"/>
    <w:basedOn w:val="0"/>
    <w:pPr>
      <w:snapToGrid w:val="0"/>
    </w:pPr>
    <w:rPr>
      <w:rFonts w:ascii="Arial" w:hAnsi="Arial"/>
    </w:rPr>
  </w:style>
  <w:style w:type="character" w:styleId="174">
    <w:name w:val="footnote reference"/>
    <w:basedOn w:val="10"/>
    <w:rPr>
      <w:vertAlign w:val="superscript"/>
    </w:rPr>
  </w:style>
  <w:style w:type="paragraph" w:styleId="175">
    <w:name w:val="table of authorities"/>
    <w:basedOn w:val="0"/>
    <w:next w:val="0"/>
    <w:pPr>
      <w:ind w:left="420"/>
    </w:pPr>
  </w:style>
  <w:style w:type="paragraph" w:styleId="176">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177">
    <w:name w:val="toa heading"/>
    <w:basedOn w:val="0"/>
    <w:next w:val="0"/>
    <w:pPr>
      <w:spacing w:before="120"/>
    </w:pPr>
    <w:rPr>
      <w:rFonts w:ascii="Arial" w:hAnsi="Arial"/>
      <w:sz w:val="24"/>
    </w:rPr>
  </w:style>
  <w:style w:type="paragraph" w:styleId="178">
    <w:name w:val="List Number"/>
    <w:basedOn w:val="0"/>
    <w:pPr>
      <w:numPr>
        <w:ilvl w:val="0"/>
        <w:numId w:val="1"/>
      </w:numPr>
    </w:pPr>
  </w:style>
  <w:style w:type="paragraph" w:styleId="179">
    <w:name w:val="List Bullet 4"/>
    <w:basedOn w:val="0"/>
    <w:pPr>
      <w:numPr>
        <w:ilvl w:val="0"/>
        <w:numId w:val="2"/>
      </w:numPr>
    </w:pPr>
  </w:style>
  <w:style w:type="paragraph" w:styleId="180">
    <w:name w:val="List Bullet 5"/>
    <w:basedOn w:val="0"/>
    <w:pPr>
      <w:numPr>
        <w:ilvl w:val="0"/>
        <w:numId w:val="3"/>
      </w:numPr>
    </w:pPr>
  </w:style>
  <w:style w:type="paragraph" w:styleId="181">
    <w:name w:val="List Number 2"/>
    <w:basedOn w:val="0"/>
    <w:pPr>
      <w:numPr>
        <w:ilvl w:val="0"/>
        <w:numId w:val="4"/>
      </w:numPr>
    </w:pPr>
  </w:style>
  <w:style w:type="paragraph" w:styleId="182">
    <w:name w:val="Signature"/>
    <w:basedOn w:val="0"/>
    <w:pPr>
      <w:ind w:left="4320"/>
    </w:pPr>
  </w:style>
  <w:style w:type="paragraph" w:styleId="183">
    <w:name w:val="List Continue"/>
    <w:basedOn w:val="0"/>
    <w:pPr>
      <w:spacing w:after="120"/>
      <w:ind w:left="420"/>
    </w:pPr>
  </w:style>
  <w:style w:type="paragraph" w:styleId="184">
    <w:name w:val="List Continue 2"/>
    <w:basedOn w:val="0"/>
    <w:pPr>
      <w:spacing w:after="120"/>
      <w:ind w:left="840"/>
    </w:pPr>
  </w:style>
  <w:style w:type="paragraph" w:styleId="185">
    <w:name w:val="Body Text Indent 3"/>
    <w:basedOn w:val="0"/>
    <w:pPr>
      <w:spacing w:after="120"/>
      <w:ind w:left="420"/>
    </w:pPr>
    <w:rPr>
      <w:sz w:val="16"/>
    </w:rPr>
  </w:style>
  <w:style w:type="paragraph" w:styleId="186">
    <w:name w:val="Block Text"/>
    <w:basedOn w:val="0"/>
    <w:pPr>
      <w:spacing w:after="120"/>
      <w:ind w:left="140" w:rightChars="700" w:right="700"/>
    </w:pPr>
  </w:style>
  <w:style w:type="character" w:styleId="187">
    <w:name w:val="FollowedHyperlink"/>
    <w:basedOn w:val="10"/>
    <w:rPr>
      <w:color w:val="800080"/>
      <w:u w:val="single"/>
    </w:rPr>
  </w:style>
  <w:style w:type="character" w:styleId="188">
    <w:name w:val="Strong"/>
    <w:basedOn w:val="10"/>
    <w:rPr>
      <w:b/>
    </w:rPr>
  </w:style>
  <w:style w:type="character" w:styleId="189">
    <w:name w:val="HTML Code"/>
    <w:basedOn w:val="10"/>
    <w:rPr>
      <w:rFonts w:ascii="Courier New" w:hAnsi="Courier New"/>
      <w:sz w:val="20"/>
    </w:rPr>
  </w:style>
  <w:style w:type="character" w:styleId="190">
    <w:name w:val="HTML Definition"/>
    <w:basedOn w:val="10"/>
    <w:rPr>
      <w:i/>
    </w:rPr>
  </w:style>
  <w:style w:type="character" w:styleId="191">
    <w:name w:val="HTML Keyboard"/>
    <w:basedOn w:val="10"/>
    <w:rPr>
      <w:rFonts w:ascii="Courier New" w:hAnsi="Courier New"/>
      <w:sz w:val="20"/>
    </w:rPr>
  </w:style>
  <w:style w:type="paragraph" w:styleId="192">
    <w:name w:val="HTML Preformatted"/>
    <w:basedOn w:val="0"/>
    <w:rPr>
      <w:rFonts w:ascii="Courier New" w:hAnsi="Courier New"/>
      <w:sz w:val="20"/>
    </w:rPr>
  </w:style>
  <w:style w:type="character" w:styleId="193">
    <w:name w:val="HTML Sample"/>
    <w:basedOn w:val="10"/>
    <w:rPr>
      <w:rFonts w:ascii="Courier New" w:hAnsi="Courier New"/>
    </w:rPr>
  </w:style>
  <w:style w:type="character" w:styleId="194">
    <w:name w:val="HTML Typewriter"/>
    <w:basedOn w:val="10"/>
    <w:rPr>
      <w:rFonts w:ascii="Courier New" w:hAnsi="Courier New"/>
      <w:sz w:val="20"/>
    </w:rPr>
  </w:style>
  <w:style w:type="character" w:styleId="195">
    <w:name w:val="HTML Variable"/>
    <w:basedOn w:val="10"/>
    <w:rPr>
      <w:i/>
    </w:rPr>
  </w:style>
  <w:style w:type="paragraph" w:customStyle="1" w:styleId="196">
    <w:name w:val="正文文字"/>
    <w:basedOn w:val="0"/>
    <w:next w:val="0"/>
    <w:pPr>
      <w:spacing w:after="120"/>
    </w:pPr>
  </w:style>
  <w:style w:type="paragraph" w:customStyle="1" w:styleId="197">
    <w:name w:val="正文文字 1"/>
    <w:basedOn w:val="0"/>
    <w:autoRedefine/>
    <w:next w:val="0"/>
    <w:pPr>
      <w:ind w:left="240"/>
    </w:pPr>
    <w:rPr>
      <w:sz w:val="28"/>
    </w:rPr>
  </w:style>
  <w:style w:type="paragraph" w:customStyle="1" w:styleId="198">
    <w:name w:val="正文文字 2"/>
    <w:basedOn w:val="0"/>
    <w:autoRedefine/>
    <w:next w:val="0"/>
    <w:pPr>
      <w:ind w:left="240"/>
    </w:pPr>
    <w:rPr>
      <w:rFonts w:ascii="Arial" w:hAnsi="Arial"/>
      <w:sz w:val="28"/>
    </w:rPr>
  </w:style>
  <w:style w:type="paragraph" w:customStyle="1" w:styleId="199">
    <w:name w:val="正文文字 3"/>
    <w:basedOn w:val="0"/>
    <w:autoRedefine/>
    <w:next w:val="0"/>
    <w:pPr>
      <w:ind w:left="240"/>
    </w:pPr>
    <w:rPr>
      <w:sz w:val="28"/>
    </w:rPr>
  </w:style>
  <w:style w:type="paragraph" w:customStyle="1" w:styleId="200">
    <w:name w:val="正文文字 4"/>
    <w:basedOn w:val="0"/>
    <w:autoRedefine/>
    <w:next w:val="0"/>
    <w:pPr>
      <w:ind w:left="240"/>
    </w:pPr>
    <w:rPr>
      <w:sz w:val="24"/>
    </w:rPr>
  </w:style>
  <w:style w:type="paragraph" w:customStyle="1" w:styleId="201">
    <w:name w:val="正文文字 5"/>
    <w:basedOn w:val="0"/>
    <w:autoRedefine/>
    <w:next w:val="0"/>
    <w:pPr>
      <w:ind w:left="240"/>
    </w:pPr>
    <w:rPr>
      <w:sz w:val="24"/>
    </w:rPr>
  </w:style>
  <w:style w:type="paragraph" w:customStyle="1" w:styleId="202">
    <w:name w:val="正文文字 6"/>
    <w:basedOn w:val="0"/>
    <w:autoRedefine/>
    <w:next w:val="0"/>
    <w:pPr>
      <w:ind w:left="240"/>
    </w:pPr>
    <w:rPr>
      <w:sz w:val="20"/>
    </w:rPr>
  </w:style>
  <w:style w:type="paragraph" w:customStyle="1" w:styleId="203">
    <w:name w:val="正文文字 7"/>
    <w:basedOn w:val="0"/>
    <w:autoRedefine/>
    <w:next w:val="0"/>
    <w:pPr>
      <w:ind w:left="240"/>
    </w:pPr>
    <w:rPr>
      <w:sz w:val="20"/>
    </w:rPr>
  </w:style>
  <w:style w:type="paragraph" w:customStyle="1" w:styleId="204">
    <w:name w:val="正文文字 8"/>
    <w:basedOn w:val="0"/>
    <w:autoRedefine/>
    <w:next w:val="0"/>
    <w:pPr>
      <w:ind w:left="240"/>
    </w:pPr>
    <w:rPr>
      <w:sz w:val="16"/>
    </w:rPr>
  </w:style>
  <w:style w:type="paragraph" w:customStyle="1" w:styleId="205">
    <w:name w:val="正文文字 9"/>
    <w:basedOn w:val="0"/>
    <w:autoRedefine/>
    <w:next w:val="0"/>
    <w:pPr>
      <w:ind w:left="240"/>
    </w:pPr>
    <w:rPr>
      <w:sz w:val="16"/>
    </w:rPr>
  </w:style>
  <w:style w:type="paragraph" w:customStyle="1" w:styleId="206">
    <w:name w:val="公式样式 文本"/>
    <w:autoRedefine/>
    <w:rPr>
      <w:rFonts w:ascii="Times New Roman" w:eastAsia="宋体" w:cs="Times New Roman" w:hAnsi="Times New Roman"/>
      <w:b w:val="0"/>
      <w:i w:val="0"/>
      <w:lang w:val="en-US" w:eastAsia="zh-CN" w:bidi="ar-SA"/>
    </w:rPr>
  </w:style>
  <w:style w:type="paragraph" w:customStyle="1" w:styleId="207">
    <w:name w:val="公式样式 函数"/>
    <w:autoRedefine/>
    <w:rPr>
      <w:rFonts w:ascii="Times New Roman" w:eastAsia="宋体" w:cs="Times New Roman" w:hAnsi="Times New Roman"/>
      <w:b w:val="0"/>
      <w:i w:val="0"/>
      <w:lang w:val="en-US" w:eastAsia="zh-CN" w:bidi="ar-SA"/>
    </w:rPr>
  </w:style>
  <w:style w:type="paragraph" w:customStyle="1" w:styleId="208">
    <w:name w:val="公式样式 变量"/>
    <w:autoRedefine/>
    <w:rPr>
      <w:rFonts w:ascii="Times New Roman" w:eastAsia="宋体" w:cs="Times New Roman" w:hAnsi="Times New Roman"/>
      <w:b w:val="0"/>
      <w:i/>
      <w:lang w:val="en-US" w:eastAsia="zh-CN" w:bidi="ar-SA"/>
    </w:rPr>
  </w:style>
  <w:style w:type="paragraph" w:customStyle="1" w:styleId="209">
    <w:name w:val="公式样式 小写希腊字母"/>
    <w:autoRedefine/>
    <w:rPr>
      <w:rFonts w:ascii="Times New Roman" w:eastAsia="宋体" w:cs="Times New Roman" w:hAnsi="Times New Roman"/>
      <w:b w:val="0"/>
      <w:i/>
      <w:lang w:val="en-US" w:eastAsia="zh-CN" w:bidi="ar-SA"/>
    </w:rPr>
  </w:style>
  <w:style w:type="paragraph" w:customStyle="1" w:styleId="210">
    <w:name w:val="公式样式 大写希腊字母"/>
    <w:autoRedefine/>
    <w:rPr>
      <w:rFonts w:ascii="Times New Roman" w:eastAsia="宋体" w:cs="Times New Roman" w:hAnsi="Times New Roman"/>
      <w:b w:val="0"/>
      <w:i w:val="0"/>
      <w:lang w:val="en-US" w:eastAsia="zh-CN" w:bidi="ar-SA"/>
    </w:rPr>
  </w:style>
  <w:style w:type="paragraph" w:customStyle="1" w:styleId="211">
    <w:name w:val="公式样式 符号"/>
    <w:autoRedefine/>
    <w:rPr>
      <w:rFonts w:ascii="Times New Roman" w:eastAsia="宋体" w:cs="Times New Roman" w:hAnsi="Times New Roman"/>
      <w:b w:val="0"/>
      <w:i w:val="0"/>
      <w:lang w:val="en-US" w:eastAsia="zh-CN" w:bidi="ar-SA"/>
    </w:rPr>
  </w:style>
  <w:style w:type="paragraph" w:customStyle="1" w:styleId="212">
    <w:name w:val="公式样式 矢量矩阵"/>
    <w:autoRedefine/>
    <w:rPr>
      <w:rFonts w:ascii="Times New Roman" w:eastAsia="宋体" w:cs="Times New Roman" w:hAnsi="Times New Roman"/>
      <w:b/>
      <w:i w:val="0"/>
      <w:lang w:val="en-US" w:eastAsia="zh-CN" w:bidi="ar-SA"/>
    </w:rPr>
  </w:style>
  <w:style w:type="paragraph" w:customStyle="1" w:styleId="213">
    <w:name w:val="公式样式 数字"/>
    <w:autoRedefine/>
    <w:rPr>
      <w:rFonts w:ascii="Times New Roman" w:eastAsia="宋体" w:cs="Times New Roman" w:hAnsi="Times New Roman"/>
      <w:b w:val="0"/>
      <w:i w:val="0"/>
      <w:lang w:val="en-US" w:eastAsia="zh-CN" w:bidi="ar-SA"/>
    </w:rPr>
  </w:style>
  <w:style w:type="paragraph" w:customStyle="1" w:styleId="214">
    <w:name w:val="样式 355 10 磅"/>
    <w:next w:val="348"/>
    <w:pPr>
      <w:widowControl w:val="0"/>
      <w:jc w:val="both"/>
    </w:pPr>
    <w:rPr>
      <w:rFonts w:ascii="Calibri" w:eastAsia="宋体" w:cs="Arial" w:hAnsi="Calibri"/>
      <w:kern w:val="2"/>
      <w:sz w:val="21"/>
      <w:szCs w:val="22"/>
      <w:lang w:val="en-US" w:eastAsia="zh-CN" w:bidi="ar-SA"/>
    </w:rPr>
  </w:style>
  <w:style w:type="paragraph" w:customStyle="1" w:styleId="215">
    <w:name w:val="样式 354 10 磅"/>
    <w:next w:val="347"/>
    <w:pPr>
      <w:widowControl w:val="0"/>
      <w:jc w:val="both"/>
    </w:pPr>
    <w:rPr>
      <w:rFonts w:ascii="Calibri" w:eastAsia="宋体" w:cs="Arial" w:hAnsi="Calibri"/>
      <w:kern w:val="2"/>
      <w:sz w:val="21"/>
      <w:szCs w:val="22"/>
      <w:lang w:val="en-US" w:eastAsia="zh-CN" w:bidi="ar-SA"/>
    </w:rPr>
  </w:style>
  <w:style w:type="paragraph" w:customStyle="1" w:styleId="216">
    <w:name w:val="样式 353 10 磅"/>
    <w:next w:val="346"/>
    <w:pPr>
      <w:widowControl w:val="0"/>
      <w:jc w:val="both"/>
    </w:pPr>
    <w:rPr>
      <w:rFonts w:ascii="Calibri" w:eastAsia="宋体" w:cs="Arial" w:hAnsi="Calibri"/>
      <w:kern w:val="2"/>
      <w:sz w:val="21"/>
      <w:szCs w:val="22"/>
      <w:lang w:val="en-US" w:eastAsia="zh-CN" w:bidi="ar-SA"/>
    </w:rPr>
  </w:style>
  <w:style w:type="paragraph" w:customStyle="1" w:styleId="217">
    <w:name w:val="样式 352 10 磅"/>
    <w:next w:val="345"/>
    <w:pPr>
      <w:widowControl w:val="0"/>
      <w:jc w:val="both"/>
    </w:pPr>
    <w:rPr>
      <w:rFonts w:ascii="Calibri" w:eastAsia="宋体" w:cs="Arial" w:hAnsi="Calibri"/>
      <w:kern w:val="2"/>
      <w:sz w:val="21"/>
      <w:szCs w:val="22"/>
      <w:lang w:val="en-US" w:eastAsia="zh-CN" w:bidi="ar-SA"/>
    </w:rPr>
  </w:style>
  <w:style w:type="paragraph" w:customStyle="1" w:styleId="218">
    <w:name w:val="样式 351 10 磅"/>
    <w:next w:val="344"/>
    <w:pPr>
      <w:widowControl w:val="0"/>
      <w:jc w:val="both"/>
    </w:pPr>
    <w:rPr>
      <w:rFonts w:ascii="Calibri" w:eastAsia="宋体" w:cs="Arial" w:hAnsi="Calibri"/>
      <w:kern w:val="2"/>
      <w:sz w:val="21"/>
      <w:szCs w:val="22"/>
      <w:lang w:val="en-US" w:eastAsia="zh-CN" w:bidi="ar-SA"/>
    </w:rPr>
  </w:style>
  <w:style w:type="paragraph" w:customStyle="1" w:styleId="219">
    <w:name w:val="样式 350 10 磅"/>
    <w:next w:val="343"/>
    <w:pPr>
      <w:widowControl w:val="0"/>
      <w:jc w:val="both"/>
    </w:pPr>
    <w:rPr>
      <w:rFonts w:ascii="Calibri" w:eastAsia="宋体" w:cs="Arial" w:hAnsi="Calibri"/>
      <w:kern w:val="2"/>
      <w:sz w:val="21"/>
      <w:szCs w:val="22"/>
      <w:lang w:val="en-US" w:eastAsia="zh-CN" w:bidi="ar-SA"/>
    </w:rPr>
  </w:style>
  <w:style w:type="paragraph" w:customStyle="1" w:styleId="220">
    <w:name w:val="样式 349 10 磅"/>
    <w:next w:val="342"/>
    <w:pPr>
      <w:widowControl w:val="0"/>
      <w:jc w:val="both"/>
    </w:pPr>
    <w:rPr>
      <w:rFonts w:ascii="Calibri" w:eastAsia="宋体" w:cs="Arial" w:hAnsi="Calibri"/>
      <w:kern w:val="2"/>
      <w:sz w:val="21"/>
      <w:szCs w:val="22"/>
      <w:lang w:val="en-US" w:eastAsia="zh-CN" w:bidi="ar-SA"/>
    </w:rPr>
  </w:style>
  <w:style w:type="paragraph" w:customStyle="1" w:styleId="221">
    <w:name w:val="样式 348 10 磅"/>
    <w:next w:val="341"/>
    <w:pPr>
      <w:widowControl w:val="0"/>
      <w:jc w:val="both"/>
    </w:pPr>
    <w:rPr>
      <w:rFonts w:ascii="Calibri" w:eastAsia="宋体" w:cs="Arial" w:hAnsi="Calibri"/>
      <w:kern w:val="2"/>
      <w:sz w:val="21"/>
      <w:szCs w:val="22"/>
      <w:lang w:val="en-US" w:eastAsia="zh-CN" w:bidi="ar-SA"/>
    </w:rPr>
  </w:style>
  <w:style w:type="paragraph" w:customStyle="1" w:styleId="222">
    <w:name w:val="样式 347 10 磅"/>
    <w:next w:val="340"/>
    <w:pPr>
      <w:widowControl w:val="0"/>
      <w:jc w:val="both"/>
    </w:pPr>
    <w:rPr>
      <w:rFonts w:ascii="Calibri" w:eastAsia="宋体" w:cs="Arial" w:hAnsi="Calibri"/>
      <w:kern w:val="2"/>
      <w:sz w:val="21"/>
      <w:szCs w:val="22"/>
      <w:lang w:val="en-US" w:eastAsia="zh-CN" w:bidi="ar-SA"/>
    </w:rPr>
  </w:style>
  <w:style w:type="paragraph" w:customStyle="1" w:styleId="223">
    <w:name w:val="样式 346 10 磅"/>
    <w:next w:val="339"/>
    <w:pPr>
      <w:widowControl w:val="0"/>
      <w:jc w:val="both"/>
    </w:pPr>
    <w:rPr>
      <w:rFonts w:ascii="Calibri" w:eastAsia="宋体" w:cs="Arial" w:hAnsi="Calibri"/>
      <w:kern w:val="2"/>
      <w:sz w:val="21"/>
      <w:szCs w:val="22"/>
      <w:lang w:val="en-US" w:eastAsia="zh-CN" w:bidi="ar-SA"/>
    </w:rPr>
  </w:style>
  <w:style w:type="paragraph" w:customStyle="1" w:styleId="224">
    <w:name w:val="样式 345 10 磅"/>
    <w:next w:val="338"/>
    <w:pPr>
      <w:widowControl w:val="0"/>
      <w:jc w:val="both"/>
    </w:pPr>
    <w:rPr>
      <w:rFonts w:ascii="Calibri" w:eastAsia="宋体" w:cs="Arial" w:hAnsi="Calibri"/>
      <w:kern w:val="2"/>
      <w:sz w:val="21"/>
      <w:szCs w:val="22"/>
      <w:lang w:val="en-US" w:eastAsia="zh-CN" w:bidi="ar-SA"/>
    </w:rPr>
  </w:style>
  <w:style w:type="paragraph" w:customStyle="1" w:styleId="225">
    <w:name w:val="样式 344 10 磅"/>
    <w:next w:val="337"/>
    <w:pPr>
      <w:widowControl w:val="0"/>
      <w:jc w:val="both"/>
    </w:pPr>
    <w:rPr>
      <w:rFonts w:ascii="Calibri" w:eastAsia="宋体" w:cs="Arial" w:hAnsi="Calibri"/>
      <w:kern w:val="2"/>
      <w:sz w:val="21"/>
      <w:szCs w:val="22"/>
      <w:lang w:val="en-US" w:eastAsia="zh-CN" w:bidi="ar-SA"/>
    </w:rPr>
  </w:style>
  <w:style w:type="paragraph" w:customStyle="1" w:styleId="226">
    <w:name w:val="样式 343 10 磅"/>
    <w:next w:val="336"/>
    <w:pPr>
      <w:widowControl w:val="0"/>
      <w:jc w:val="both"/>
    </w:pPr>
    <w:rPr>
      <w:rFonts w:ascii="Calibri" w:eastAsia="宋体" w:cs="Arial" w:hAnsi="Calibri"/>
      <w:kern w:val="2"/>
      <w:sz w:val="21"/>
      <w:szCs w:val="22"/>
      <w:lang w:val="en-US" w:eastAsia="zh-CN" w:bidi="ar-SA"/>
    </w:rPr>
  </w:style>
  <w:style w:type="paragraph" w:customStyle="1" w:styleId="227">
    <w:name w:val="样式 342 10 磅"/>
    <w:next w:val="335"/>
    <w:pPr>
      <w:widowControl w:val="0"/>
      <w:jc w:val="both"/>
    </w:pPr>
    <w:rPr>
      <w:rFonts w:ascii="Calibri" w:eastAsia="宋体" w:cs="Arial" w:hAnsi="Calibri"/>
      <w:kern w:val="2"/>
      <w:sz w:val="21"/>
      <w:szCs w:val="22"/>
      <w:lang w:val="en-US" w:eastAsia="zh-CN" w:bidi="ar-SA"/>
    </w:rPr>
  </w:style>
  <w:style w:type="paragraph" w:customStyle="1" w:styleId="228">
    <w:name w:val="样式 341 10 磅"/>
    <w:next w:val="334"/>
    <w:pPr>
      <w:widowControl w:val="0"/>
      <w:jc w:val="both"/>
    </w:pPr>
    <w:rPr>
      <w:rFonts w:ascii="Calibri" w:eastAsia="宋体" w:cs="Arial" w:hAnsi="Calibri"/>
      <w:kern w:val="2"/>
      <w:sz w:val="21"/>
      <w:szCs w:val="22"/>
      <w:lang w:val="en-US" w:eastAsia="zh-CN" w:bidi="ar-SA"/>
    </w:rPr>
  </w:style>
  <w:style w:type="paragraph" w:customStyle="1" w:styleId="229">
    <w:name w:val="样式 340 10 磅"/>
    <w:next w:val="333"/>
    <w:pPr>
      <w:widowControl w:val="0"/>
      <w:jc w:val="both"/>
    </w:pPr>
    <w:rPr>
      <w:rFonts w:ascii="Calibri" w:eastAsia="宋体" w:cs="Arial" w:hAnsi="Calibri"/>
      <w:kern w:val="2"/>
      <w:sz w:val="21"/>
      <w:szCs w:val="22"/>
      <w:lang w:val="en-US" w:eastAsia="zh-CN" w:bidi="ar-SA"/>
    </w:rPr>
  </w:style>
  <w:style w:type="paragraph" w:customStyle="1" w:styleId="230">
    <w:name w:val="样式 339 10 磅"/>
    <w:next w:val="332"/>
    <w:pPr>
      <w:widowControl w:val="0"/>
      <w:jc w:val="both"/>
    </w:pPr>
    <w:rPr>
      <w:rFonts w:ascii="Calibri" w:eastAsia="宋体" w:cs="Arial" w:hAnsi="Calibri"/>
      <w:kern w:val="2"/>
      <w:sz w:val="21"/>
      <w:szCs w:val="22"/>
      <w:lang w:val="en-US" w:eastAsia="zh-CN" w:bidi="ar-SA"/>
    </w:rPr>
  </w:style>
  <w:style w:type="paragraph" w:customStyle="1" w:styleId="231">
    <w:name w:val="样式 338 10 磅"/>
    <w:next w:val="331"/>
    <w:pPr>
      <w:widowControl w:val="0"/>
      <w:jc w:val="both"/>
    </w:pPr>
    <w:rPr>
      <w:rFonts w:ascii="Calibri" w:eastAsia="宋体" w:cs="Arial" w:hAnsi="Calibri"/>
      <w:kern w:val="2"/>
      <w:sz w:val="21"/>
      <w:szCs w:val="22"/>
      <w:lang w:val="en-US" w:eastAsia="zh-CN" w:bidi="ar-SA"/>
    </w:rPr>
  </w:style>
  <w:style w:type="paragraph" w:customStyle="1" w:styleId="232">
    <w:name w:val="样式 337 10 磅"/>
    <w:next w:val="330"/>
    <w:pPr>
      <w:widowControl w:val="0"/>
      <w:jc w:val="both"/>
    </w:pPr>
    <w:rPr>
      <w:rFonts w:ascii="Calibri" w:eastAsia="宋体" w:cs="Arial" w:hAnsi="Calibri"/>
      <w:kern w:val="2"/>
      <w:sz w:val="21"/>
      <w:szCs w:val="22"/>
      <w:lang w:val="en-US" w:eastAsia="zh-CN" w:bidi="ar-SA"/>
    </w:rPr>
  </w:style>
  <w:style w:type="paragraph" w:customStyle="1" w:styleId="233">
    <w:name w:val="样式 336 10 磅"/>
    <w:next w:val="329"/>
    <w:pPr>
      <w:widowControl w:val="0"/>
      <w:jc w:val="both"/>
    </w:pPr>
    <w:rPr>
      <w:rFonts w:ascii="Calibri" w:eastAsia="宋体" w:cs="Arial" w:hAnsi="Calibri"/>
      <w:kern w:val="2"/>
      <w:sz w:val="21"/>
      <w:szCs w:val="22"/>
      <w:lang w:val="en-US" w:eastAsia="zh-CN" w:bidi="ar-SA"/>
    </w:rPr>
  </w:style>
  <w:style w:type="paragraph" w:customStyle="1" w:styleId="234">
    <w:name w:val="样式 335 10 磅"/>
    <w:next w:val="328"/>
    <w:pPr>
      <w:widowControl w:val="0"/>
      <w:jc w:val="both"/>
    </w:pPr>
    <w:rPr>
      <w:rFonts w:ascii="Calibri" w:eastAsia="宋体" w:cs="Arial" w:hAnsi="Calibri"/>
      <w:kern w:val="2"/>
      <w:sz w:val="21"/>
      <w:szCs w:val="22"/>
      <w:lang w:val="en-US" w:eastAsia="zh-CN" w:bidi="ar-SA"/>
    </w:rPr>
  </w:style>
  <w:style w:type="paragraph" w:customStyle="1" w:styleId="235">
    <w:name w:val="样式 334 10 磅"/>
    <w:next w:val="327"/>
    <w:pPr>
      <w:widowControl w:val="0"/>
      <w:jc w:val="both"/>
    </w:pPr>
    <w:rPr>
      <w:rFonts w:ascii="Calibri" w:eastAsia="宋体" w:cs="Arial" w:hAnsi="Calibri"/>
      <w:kern w:val="2"/>
      <w:sz w:val="21"/>
      <w:szCs w:val="22"/>
      <w:lang w:val="en-US" w:eastAsia="zh-CN" w:bidi="ar-SA"/>
    </w:rPr>
  </w:style>
  <w:style w:type="paragraph" w:customStyle="1" w:styleId="236">
    <w:name w:val="样式 333 10 磅"/>
    <w:next w:val="326"/>
    <w:pPr>
      <w:widowControl w:val="0"/>
      <w:jc w:val="both"/>
    </w:pPr>
    <w:rPr>
      <w:rFonts w:ascii="Calibri" w:eastAsia="宋体" w:cs="Arial" w:hAnsi="Calibri"/>
      <w:kern w:val="2"/>
      <w:sz w:val="21"/>
      <w:szCs w:val="22"/>
      <w:lang w:val="en-US" w:eastAsia="zh-CN" w:bidi="ar-SA"/>
    </w:rPr>
  </w:style>
  <w:style w:type="paragraph" w:customStyle="1" w:styleId="237">
    <w:name w:val="样式 332 10 磅"/>
    <w:next w:val="325"/>
    <w:pPr>
      <w:widowControl w:val="0"/>
      <w:jc w:val="both"/>
    </w:pPr>
    <w:rPr>
      <w:rFonts w:ascii="Calibri" w:eastAsia="宋体" w:cs="Arial" w:hAnsi="Calibri"/>
      <w:kern w:val="2"/>
      <w:sz w:val="21"/>
      <w:szCs w:val="22"/>
      <w:lang w:val="en-US" w:eastAsia="zh-CN" w:bidi="ar-SA"/>
    </w:rPr>
  </w:style>
  <w:style w:type="paragraph" w:customStyle="1" w:styleId="238">
    <w:name w:val="样式 331 10 磅"/>
    <w:next w:val="324"/>
    <w:pPr>
      <w:widowControl w:val="0"/>
      <w:jc w:val="both"/>
    </w:pPr>
    <w:rPr>
      <w:rFonts w:ascii="Calibri" w:eastAsia="宋体" w:cs="Arial" w:hAnsi="Calibri"/>
      <w:kern w:val="2"/>
      <w:sz w:val="21"/>
      <w:szCs w:val="22"/>
      <w:lang w:val="en-US" w:eastAsia="zh-CN" w:bidi="ar-SA"/>
    </w:rPr>
  </w:style>
  <w:style w:type="paragraph" w:customStyle="1" w:styleId="239">
    <w:name w:val="样式 330 10 磅"/>
    <w:next w:val="323"/>
    <w:pPr>
      <w:widowControl w:val="0"/>
      <w:jc w:val="both"/>
    </w:pPr>
    <w:rPr>
      <w:rFonts w:ascii="Calibri" w:eastAsia="宋体" w:cs="Arial" w:hAnsi="Calibri"/>
      <w:kern w:val="2"/>
      <w:sz w:val="21"/>
      <w:szCs w:val="22"/>
      <w:lang w:val="en-US" w:eastAsia="zh-CN" w:bidi="ar-SA"/>
    </w:rPr>
  </w:style>
  <w:style w:type="paragraph" w:customStyle="1" w:styleId="240">
    <w:name w:val="样式 329 10 磅"/>
    <w:next w:val="322"/>
    <w:pPr>
      <w:widowControl w:val="0"/>
      <w:jc w:val="both"/>
    </w:pPr>
    <w:rPr>
      <w:rFonts w:ascii="Calibri" w:eastAsia="宋体" w:cs="Arial" w:hAnsi="Calibri"/>
      <w:kern w:val="2"/>
      <w:sz w:val="21"/>
      <w:szCs w:val="22"/>
      <w:lang w:val="en-US" w:eastAsia="zh-CN" w:bidi="ar-SA"/>
    </w:rPr>
  </w:style>
  <w:style w:type="paragraph" w:customStyle="1" w:styleId="241">
    <w:name w:val="样式 328 10 磅"/>
    <w:next w:val="321"/>
    <w:pPr>
      <w:widowControl w:val="0"/>
      <w:jc w:val="both"/>
    </w:pPr>
    <w:rPr>
      <w:rFonts w:ascii="Calibri" w:eastAsia="宋体" w:cs="Arial" w:hAnsi="Calibri"/>
      <w:kern w:val="2"/>
      <w:sz w:val="21"/>
      <w:szCs w:val="22"/>
      <w:lang w:val="en-US" w:eastAsia="zh-CN" w:bidi="ar-SA"/>
    </w:rPr>
  </w:style>
  <w:style w:type="paragraph" w:customStyle="1" w:styleId="242">
    <w:name w:val="样式 327 10 磅"/>
    <w:next w:val="320"/>
    <w:pPr>
      <w:widowControl w:val="0"/>
      <w:jc w:val="both"/>
    </w:pPr>
    <w:rPr>
      <w:rFonts w:ascii="Calibri" w:eastAsia="宋体" w:cs="Arial" w:hAnsi="Calibri"/>
      <w:kern w:val="2"/>
      <w:sz w:val="21"/>
      <w:szCs w:val="22"/>
      <w:lang w:val="en-US" w:eastAsia="zh-CN" w:bidi="ar-SA"/>
    </w:rPr>
  </w:style>
  <w:style w:type="paragraph" w:customStyle="1" w:styleId="243">
    <w:name w:val="样式 326 10 磅"/>
    <w:next w:val="319"/>
    <w:pPr>
      <w:widowControl w:val="0"/>
      <w:jc w:val="both"/>
    </w:pPr>
    <w:rPr>
      <w:rFonts w:ascii="Calibri" w:eastAsia="宋体" w:cs="Arial" w:hAnsi="Calibri"/>
      <w:kern w:val="2"/>
      <w:sz w:val="21"/>
      <w:szCs w:val="22"/>
      <w:lang w:val="en-US" w:eastAsia="zh-CN" w:bidi="ar-SA"/>
    </w:rPr>
  </w:style>
  <w:style w:type="paragraph" w:customStyle="1" w:styleId="244">
    <w:name w:val="样式 325 10 磅"/>
    <w:next w:val="318"/>
    <w:pPr>
      <w:widowControl w:val="0"/>
      <w:jc w:val="both"/>
    </w:pPr>
    <w:rPr>
      <w:rFonts w:ascii="Calibri" w:eastAsia="宋体" w:cs="Arial" w:hAnsi="Calibri"/>
      <w:kern w:val="2"/>
      <w:sz w:val="21"/>
      <w:szCs w:val="22"/>
      <w:lang w:val="en-US" w:eastAsia="zh-CN" w:bidi="ar-SA"/>
    </w:rPr>
  </w:style>
  <w:style w:type="paragraph" w:customStyle="1" w:styleId="245">
    <w:name w:val="样式 324 10 磅"/>
    <w:next w:val="317"/>
    <w:pPr>
      <w:widowControl w:val="0"/>
      <w:jc w:val="both"/>
    </w:pPr>
    <w:rPr>
      <w:rFonts w:ascii="Calibri" w:eastAsia="宋体" w:cs="Arial" w:hAnsi="Calibri"/>
      <w:kern w:val="2"/>
      <w:sz w:val="21"/>
      <w:szCs w:val="22"/>
      <w:lang w:val="en-US" w:eastAsia="zh-CN" w:bidi="ar-SA"/>
    </w:rPr>
  </w:style>
  <w:style w:type="paragraph" w:customStyle="1" w:styleId="246">
    <w:name w:val="样式 323 10 磅"/>
    <w:next w:val="316"/>
    <w:pPr>
      <w:widowControl w:val="0"/>
      <w:jc w:val="both"/>
    </w:pPr>
    <w:rPr>
      <w:rFonts w:ascii="Calibri" w:eastAsia="宋体" w:cs="Arial" w:hAnsi="Calibri"/>
      <w:kern w:val="2"/>
      <w:sz w:val="21"/>
      <w:szCs w:val="22"/>
      <w:lang w:val="en-US" w:eastAsia="zh-CN" w:bidi="ar-SA"/>
    </w:rPr>
  </w:style>
  <w:style w:type="paragraph" w:customStyle="1" w:styleId="247">
    <w:name w:val="样式 322 10 磅"/>
    <w:next w:val="315"/>
    <w:pPr>
      <w:widowControl w:val="0"/>
      <w:jc w:val="both"/>
    </w:pPr>
    <w:rPr>
      <w:rFonts w:ascii="Calibri" w:eastAsia="宋体" w:cs="Arial" w:hAnsi="Calibri"/>
      <w:kern w:val="2"/>
      <w:sz w:val="21"/>
      <w:szCs w:val="22"/>
      <w:lang w:val="en-US" w:eastAsia="zh-CN" w:bidi="ar-SA"/>
    </w:rPr>
  </w:style>
  <w:style w:type="paragraph" w:customStyle="1" w:styleId="248">
    <w:name w:val="样式 321 10 磅"/>
    <w:next w:val="314"/>
    <w:pPr>
      <w:widowControl w:val="0"/>
      <w:jc w:val="both"/>
    </w:pPr>
    <w:rPr>
      <w:rFonts w:ascii="Calibri" w:eastAsia="宋体" w:cs="Arial" w:hAnsi="Calibri"/>
      <w:kern w:val="2"/>
      <w:sz w:val="21"/>
      <w:szCs w:val="22"/>
      <w:lang w:val="en-US" w:eastAsia="zh-CN" w:bidi="ar-SA"/>
    </w:rPr>
  </w:style>
  <w:style w:type="paragraph" w:customStyle="1" w:styleId="249">
    <w:name w:val="样式 320 10 磅"/>
    <w:next w:val="313"/>
    <w:pPr>
      <w:widowControl w:val="0"/>
      <w:jc w:val="both"/>
    </w:pPr>
    <w:rPr>
      <w:rFonts w:ascii="Calibri" w:eastAsia="宋体" w:cs="Arial" w:hAnsi="Calibri"/>
      <w:kern w:val="2"/>
      <w:sz w:val="21"/>
      <w:szCs w:val="22"/>
      <w:lang w:val="en-US" w:eastAsia="zh-CN" w:bidi="ar-SA"/>
    </w:rPr>
  </w:style>
  <w:style w:type="paragraph" w:customStyle="1" w:styleId="250">
    <w:name w:val="样式 319 10 磅"/>
    <w:next w:val="312"/>
    <w:pPr>
      <w:widowControl w:val="0"/>
      <w:jc w:val="both"/>
    </w:pPr>
    <w:rPr>
      <w:rFonts w:ascii="Calibri" w:eastAsia="宋体" w:cs="Arial" w:hAnsi="Calibri"/>
      <w:kern w:val="2"/>
      <w:sz w:val="21"/>
      <w:szCs w:val="22"/>
      <w:lang w:val="en-US" w:eastAsia="zh-CN" w:bidi="ar-SA"/>
    </w:rPr>
  </w:style>
  <w:style w:type="paragraph" w:customStyle="1" w:styleId="251">
    <w:name w:val="样式 318 10 磅"/>
    <w:next w:val="311"/>
    <w:pPr>
      <w:widowControl w:val="0"/>
      <w:jc w:val="both"/>
    </w:pPr>
    <w:rPr>
      <w:rFonts w:ascii="Calibri" w:eastAsia="宋体" w:cs="Arial" w:hAnsi="Calibri"/>
      <w:kern w:val="2"/>
      <w:sz w:val="21"/>
      <w:szCs w:val="22"/>
      <w:lang w:val="en-US" w:eastAsia="zh-CN" w:bidi="ar-SA"/>
    </w:rPr>
  </w:style>
  <w:style w:type="paragraph" w:customStyle="1" w:styleId="252">
    <w:name w:val="样式 317 10 磅"/>
    <w:next w:val="310"/>
    <w:pPr>
      <w:widowControl w:val="0"/>
      <w:jc w:val="both"/>
    </w:pPr>
    <w:rPr>
      <w:rFonts w:ascii="Calibri" w:eastAsia="宋体" w:cs="Arial" w:hAnsi="Calibri"/>
      <w:kern w:val="2"/>
      <w:sz w:val="21"/>
      <w:szCs w:val="22"/>
      <w:lang w:val="en-US" w:eastAsia="zh-CN" w:bidi="ar-SA"/>
    </w:rPr>
  </w:style>
  <w:style w:type="paragraph" w:customStyle="1" w:styleId="253">
    <w:name w:val="样式 316 10 磅"/>
    <w:next w:val="309"/>
    <w:pPr>
      <w:widowControl w:val="0"/>
      <w:jc w:val="both"/>
    </w:pPr>
    <w:rPr>
      <w:rFonts w:ascii="Calibri" w:eastAsia="宋体" w:cs="Arial" w:hAnsi="Calibri"/>
      <w:kern w:val="2"/>
      <w:sz w:val="21"/>
      <w:szCs w:val="22"/>
      <w:lang w:val="en-US" w:eastAsia="zh-CN" w:bidi="ar-SA"/>
    </w:rPr>
  </w:style>
  <w:style w:type="paragraph" w:customStyle="1" w:styleId="254">
    <w:name w:val="样式 315 10 磅"/>
    <w:next w:val="308"/>
    <w:pPr>
      <w:widowControl w:val="0"/>
      <w:jc w:val="both"/>
    </w:pPr>
    <w:rPr>
      <w:rFonts w:ascii="Calibri" w:eastAsia="宋体" w:cs="Arial" w:hAnsi="Calibri"/>
      <w:kern w:val="2"/>
      <w:sz w:val="21"/>
      <w:szCs w:val="22"/>
      <w:lang w:val="en-US" w:eastAsia="zh-CN" w:bidi="ar-SA"/>
    </w:rPr>
  </w:style>
  <w:style w:type="paragraph" w:customStyle="1" w:styleId="255">
    <w:name w:val="样式 314 10 磅"/>
    <w:next w:val="307"/>
    <w:pPr>
      <w:widowControl w:val="0"/>
      <w:jc w:val="both"/>
    </w:pPr>
    <w:rPr>
      <w:rFonts w:ascii="Calibri" w:eastAsia="宋体" w:cs="Arial" w:hAnsi="Calibri"/>
      <w:kern w:val="2"/>
      <w:sz w:val="21"/>
      <w:szCs w:val="22"/>
      <w:lang w:val="en-US" w:eastAsia="zh-CN" w:bidi="ar-SA"/>
    </w:rPr>
  </w:style>
  <w:style w:type="paragraph" w:customStyle="1" w:styleId="256">
    <w:name w:val="样式 313 10 磅"/>
    <w:next w:val="306"/>
    <w:pPr>
      <w:widowControl w:val="0"/>
      <w:jc w:val="both"/>
    </w:pPr>
    <w:rPr>
      <w:rFonts w:ascii="Calibri" w:eastAsia="宋体" w:cs="Arial" w:hAnsi="Calibri"/>
      <w:kern w:val="2"/>
      <w:sz w:val="21"/>
      <w:szCs w:val="22"/>
      <w:lang w:val="en-US" w:eastAsia="zh-CN" w:bidi="ar-SA"/>
    </w:rPr>
  </w:style>
  <w:style w:type="paragraph" w:customStyle="1" w:styleId="257">
    <w:name w:val="样式 312 10 磅"/>
    <w:next w:val="305"/>
    <w:pPr>
      <w:widowControl w:val="0"/>
      <w:jc w:val="both"/>
    </w:pPr>
    <w:rPr>
      <w:rFonts w:ascii="Calibri" w:eastAsia="宋体" w:cs="Arial" w:hAnsi="Calibri"/>
      <w:kern w:val="2"/>
      <w:sz w:val="21"/>
      <w:szCs w:val="22"/>
      <w:lang w:val="en-US" w:eastAsia="zh-CN" w:bidi="ar-SA"/>
    </w:rPr>
  </w:style>
  <w:style w:type="paragraph" w:customStyle="1" w:styleId="258">
    <w:name w:val="样式 311 10 磅"/>
    <w:next w:val="304"/>
    <w:pPr>
      <w:widowControl w:val="0"/>
      <w:jc w:val="both"/>
    </w:pPr>
    <w:rPr>
      <w:rFonts w:ascii="Calibri" w:eastAsia="宋体" w:cs="Arial" w:hAnsi="Calibri"/>
      <w:kern w:val="2"/>
      <w:sz w:val="21"/>
      <w:szCs w:val="22"/>
      <w:lang w:val="en-US" w:eastAsia="zh-CN" w:bidi="ar-SA"/>
    </w:rPr>
  </w:style>
  <w:style w:type="paragraph" w:customStyle="1" w:styleId="259">
    <w:name w:val="样式 310 10 磅"/>
    <w:next w:val="303"/>
    <w:pPr>
      <w:widowControl w:val="0"/>
      <w:jc w:val="both"/>
    </w:pPr>
    <w:rPr>
      <w:rFonts w:ascii="Calibri" w:eastAsia="宋体" w:cs="Arial" w:hAnsi="Calibri"/>
      <w:kern w:val="2"/>
      <w:sz w:val="21"/>
      <w:szCs w:val="22"/>
      <w:lang w:val="en-US" w:eastAsia="zh-CN" w:bidi="ar-SA"/>
    </w:rPr>
  </w:style>
  <w:style w:type="paragraph" w:customStyle="1" w:styleId="260">
    <w:name w:val="样式 309 10 磅"/>
    <w:next w:val="302"/>
    <w:pPr>
      <w:widowControl w:val="0"/>
      <w:jc w:val="both"/>
    </w:pPr>
    <w:rPr>
      <w:rFonts w:ascii="Calibri" w:eastAsia="宋体" w:cs="Arial" w:hAnsi="Calibri"/>
      <w:kern w:val="2"/>
      <w:sz w:val="21"/>
      <w:szCs w:val="22"/>
      <w:lang w:val="en-US" w:eastAsia="zh-CN" w:bidi="ar-SA"/>
    </w:rPr>
  </w:style>
  <w:style w:type="paragraph" w:customStyle="1" w:styleId="261">
    <w:name w:val="样式 308 10 磅"/>
    <w:next w:val="301"/>
    <w:pPr>
      <w:widowControl w:val="0"/>
      <w:jc w:val="both"/>
    </w:pPr>
    <w:rPr>
      <w:rFonts w:ascii="Calibri" w:eastAsia="宋体" w:cs="Arial" w:hAnsi="Calibri"/>
      <w:kern w:val="2"/>
      <w:sz w:val="21"/>
      <w:szCs w:val="22"/>
      <w:lang w:val="en-US" w:eastAsia="zh-CN" w:bidi="ar-SA"/>
    </w:rPr>
  </w:style>
  <w:style w:type="paragraph" w:customStyle="1" w:styleId="262">
    <w:name w:val="样式 307 10 磅"/>
    <w:next w:val="300"/>
    <w:pPr>
      <w:widowControl w:val="0"/>
      <w:jc w:val="both"/>
    </w:pPr>
    <w:rPr>
      <w:rFonts w:ascii="Calibri" w:eastAsia="宋体" w:cs="Arial" w:hAnsi="Calibri"/>
      <w:kern w:val="2"/>
      <w:sz w:val="21"/>
      <w:szCs w:val="22"/>
      <w:lang w:val="en-US" w:eastAsia="zh-CN" w:bidi="ar-SA"/>
    </w:rPr>
  </w:style>
  <w:style w:type="paragraph" w:customStyle="1" w:styleId="263">
    <w:name w:val="样式 306 10 磅"/>
    <w:next w:val="299"/>
    <w:pPr>
      <w:widowControl w:val="0"/>
      <w:jc w:val="both"/>
    </w:pPr>
    <w:rPr>
      <w:rFonts w:ascii="Calibri" w:eastAsia="宋体" w:cs="Arial" w:hAnsi="Calibri"/>
      <w:kern w:val="2"/>
      <w:sz w:val="21"/>
      <w:szCs w:val="22"/>
      <w:lang w:val="en-US" w:eastAsia="zh-CN" w:bidi="ar-SA"/>
    </w:rPr>
  </w:style>
  <w:style w:type="paragraph" w:customStyle="1" w:styleId="264">
    <w:name w:val="样式 305 10 磅"/>
    <w:next w:val="298"/>
    <w:pPr>
      <w:widowControl w:val="0"/>
      <w:jc w:val="both"/>
    </w:pPr>
    <w:rPr>
      <w:rFonts w:ascii="Calibri" w:eastAsia="宋体" w:cs="Arial" w:hAnsi="Calibri"/>
      <w:kern w:val="2"/>
      <w:sz w:val="21"/>
      <w:szCs w:val="22"/>
      <w:lang w:val="en-US" w:eastAsia="zh-CN" w:bidi="ar-SA"/>
    </w:rPr>
  </w:style>
  <w:style w:type="paragraph" w:customStyle="1" w:styleId="265">
    <w:name w:val="样式 303 10 磅"/>
    <w:next w:val="296"/>
    <w:pPr>
      <w:widowControl w:val="0"/>
      <w:jc w:val="both"/>
    </w:pPr>
    <w:rPr>
      <w:rFonts w:ascii="Calibri" w:eastAsia="宋体" w:cs="Arial" w:hAnsi="Calibri"/>
      <w:kern w:val="2"/>
      <w:sz w:val="21"/>
      <w:szCs w:val="22"/>
      <w:lang w:val="en-US" w:eastAsia="zh-CN" w:bidi="ar-SA"/>
    </w:rPr>
  </w:style>
  <w:style w:type="paragraph" w:customStyle="1" w:styleId="266">
    <w:name w:val="样式 102 10 磅"/>
    <w:next w:val="127"/>
    <w:pPr>
      <w:widowControl w:val="0"/>
      <w:jc w:val="both"/>
    </w:pPr>
    <w:rPr>
      <w:rFonts w:ascii="Calibri" w:eastAsia="宋体" w:cs="Arial" w:hAnsi="Calibri"/>
      <w:kern w:val="2"/>
      <w:sz w:val="21"/>
      <w:szCs w:val="22"/>
      <w:lang w:val="en-US" w:eastAsia="zh-CN" w:bidi="ar-SA"/>
    </w:rPr>
  </w:style>
  <w:style w:type="paragraph" w:customStyle="1" w:styleId="267">
    <w:name w:val="样式 104 10 磅"/>
    <w:next w:val="129"/>
    <w:pPr>
      <w:widowControl w:val="0"/>
      <w:jc w:val="both"/>
    </w:pPr>
    <w:rPr>
      <w:rFonts w:ascii="Calibri" w:eastAsia="宋体" w:cs="Arial" w:hAnsi="Calibri"/>
      <w:kern w:val="2"/>
      <w:sz w:val="21"/>
      <w:szCs w:val="22"/>
      <w:lang w:val="en-US" w:eastAsia="zh-CN" w:bidi="ar-SA"/>
    </w:rPr>
  </w:style>
  <w:style w:type="paragraph" w:customStyle="1" w:styleId="268">
    <w:name w:val="样式 106 10 磅"/>
    <w:next w:val="131"/>
    <w:pPr>
      <w:widowControl w:val="0"/>
      <w:jc w:val="both"/>
    </w:pPr>
    <w:rPr>
      <w:rFonts w:ascii="Calibri" w:eastAsia="宋体" w:cs="Arial" w:hAnsi="Calibri"/>
      <w:kern w:val="2"/>
      <w:sz w:val="21"/>
      <w:szCs w:val="22"/>
      <w:lang w:val="en-US" w:eastAsia="zh-CN" w:bidi="ar-SA"/>
    </w:rPr>
  </w:style>
  <w:style w:type="paragraph" w:customStyle="1" w:styleId="269">
    <w:name w:val="样式 109 10 磅"/>
    <w:next w:val="134"/>
    <w:pPr>
      <w:widowControl w:val="0"/>
      <w:jc w:val="both"/>
    </w:pPr>
    <w:rPr>
      <w:rFonts w:ascii="Calibri" w:eastAsia="宋体" w:cs="Arial" w:hAnsi="Calibri"/>
      <w:kern w:val="2"/>
      <w:sz w:val="21"/>
      <w:szCs w:val="22"/>
      <w:lang w:val="en-US" w:eastAsia="zh-CN" w:bidi="ar-SA"/>
    </w:rPr>
  </w:style>
  <w:style w:type="paragraph" w:customStyle="1" w:styleId="270">
    <w:name w:val="样式 121 10 磅"/>
    <w:next w:val="146"/>
    <w:pPr>
      <w:widowControl w:val="0"/>
      <w:jc w:val="both"/>
    </w:pPr>
    <w:rPr>
      <w:rFonts w:ascii="Calibri" w:eastAsia="宋体" w:cs="Arial" w:hAnsi="Calibri"/>
      <w:kern w:val="2"/>
      <w:sz w:val="21"/>
      <w:szCs w:val="22"/>
      <w:lang w:val="en-US" w:eastAsia="zh-CN" w:bidi="ar-SA"/>
    </w:rPr>
  </w:style>
  <w:style w:type="paragraph" w:customStyle="1" w:styleId="271">
    <w:name w:val="样式 26 10 磅"/>
    <w:next w:val="54"/>
    <w:pPr>
      <w:widowControl w:val="0"/>
      <w:jc w:val="both"/>
    </w:pPr>
    <w:rPr>
      <w:rFonts w:ascii="Calibri" w:eastAsia="宋体" w:cs="Arial" w:hAnsi="Calibri"/>
      <w:kern w:val="2"/>
      <w:sz w:val="21"/>
      <w:szCs w:val="22"/>
      <w:lang w:val="en-US" w:eastAsia="zh-CN" w:bidi="ar-SA"/>
    </w:rPr>
  </w:style>
  <w:style w:type="paragraph" w:customStyle="1" w:styleId="272">
    <w:name w:val="样式 27 10 磅"/>
    <w:next w:val="55"/>
    <w:pPr>
      <w:widowControl w:val="0"/>
      <w:jc w:val="both"/>
    </w:pPr>
    <w:rPr>
      <w:rFonts w:ascii="Calibri" w:eastAsia="宋体" w:cs="Arial" w:hAnsi="Calibri"/>
      <w:kern w:val="2"/>
      <w:sz w:val="21"/>
      <w:szCs w:val="22"/>
      <w:lang w:val="en-US" w:eastAsia="zh-CN" w:bidi="ar-SA"/>
    </w:rPr>
  </w:style>
  <w:style w:type="paragraph" w:customStyle="1" w:styleId="273">
    <w:name w:val="样式 28 10 磅"/>
    <w:next w:val="56"/>
    <w:pPr>
      <w:widowControl w:val="0"/>
      <w:jc w:val="both"/>
    </w:pPr>
    <w:rPr>
      <w:rFonts w:ascii="Calibri" w:eastAsia="宋体" w:cs="Arial" w:hAnsi="Calibri"/>
      <w:kern w:val="2"/>
      <w:sz w:val="21"/>
      <w:szCs w:val="22"/>
      <w:lang w:val="en-US" w:eastAsia="zh-CN" w:bidi="ar-SA"/>
    </w:rPr>
  </w:style>
  <w:style w:type="paragraph" w:customStyle="1" w:styleId="274">
    <w:name w:val="样式 29 10 磅"/>
    <w:next w:val="57"/>
    <w:pPr>
      <w:widowControl w:val="0"/>
      <w:jc w:val="both"/>
    </w:pPr>
    <w:rPr>
      <w:rFonts w:ascii="Calibri" w:eastAsia="宋体" w:cs="Arial" w:hAnsi="Calibri"/>
      <w:kern w:val="2"/>
      <w:sz w:val="21"/>
      <w:szCs w:val="22"/>
      <w:lang w:val="en-US" w:eastAsia="zh-CN" w:bidi="ar-SA"/>
    </w:rPr>
  </w:style>
  <w:style w:type="paragraph" w:customStyle="1" w:styleId="275">
    <w:name w:val="样式 30 10 磅"/>
    <w:next w:val="58"/>
    <w:pPr>
      <w:widowControl w:val="0"/>
      <w:jc w:val="both"/>
    </w:pPr>
    <w:rPr>
      <w:rFonts w:ascii="Calibri" w:eastAsia="宋体" w:cs="Arial" w:hAnsi="Calibri"/>
      <w:kern w:val="2"/>
      <w:sz w:val="21"/>
      <w:szCs w:val="22"/>
      <w:lang w:val="en-US" w:eastAsia="zh-CN" w:bidi="ar-SA"/>
    </w:rPr>
  </w:style>
  <w:style w:type="paragraph" w:customStyle="1" w:styleId="276">
    <w:name w:val="样式 31 10 磅"/>
    <w:next w:val="59"/>
    <w:pPr>
      <w:widowControl w:val="0"/>
      <w:jc w:val="both"/>
    </w:pPr>
    <w:rPr>
      <w:rFonts w:ascii="Calibri" w:eastAsia="宋体" w:cs="Arial" w:hAnsi="Calibri"/>
      <w:kern w:val="2"/>
      <w:sz w:val="21"/>
      <w:szCs w:val="22"/>
      <w:lang w:val="en-US" w:eastAsia="zh-CN" w:bidi="ar-SA"/>
    </w:rPr>
  </w:style>
  <w:style w:type="paragraph" w:customStyle="1" w:styleId="277">
    <w:name w:val="样式 32 10 磅"/>
    <w:next w:val="60"/>
    <w:pPr>
      <w:widowControl w:val="0"/>
      <w:jc w:val="both"/>
    </w:pPr>
    <w:rPr>
      <w:rFonts w:ascii="Calibri" w:eastAsia="宋体" w:cs="Arial" w:hAnsi="Calibri"/>
      <w:kern w:val="2"/>
      <w:sz w:val="21"/>
      <w:szCs w:val="22"/>
      <w:lang w:val="en-US" w:eastAsia="zh-CN" w:bidi="ar-SA"/>
    </w:rPr>
  </w:style>
  <w:style w:type="paragraph" w:customStyle="1" w:styleId="278">
    <w:name w:val="样式 33 10 磅"/>
    <w:next w:val="61"/>
    <w:pPr>
      <w:widowControl w:val="0"/>
      <w:jc w:val="both"/>
    </w:pPr>
    <w:rPr>
      <w:rFonts w:ascii="Calibri" w:eastAsia="宋体" w:cs="Arial" w:hAnsi="Calibri"/>
      <w:kern w:val="2"/>
      <w:sz w:val="21"/>
      <w:szCs w:val="22"/>
      <w:lang w:val="en-US" w:eastAsia="zh-CN" w:bidi="ar-SA"/>
    </w:rPr>
  </w:style>
  <w:style w:type="paragraph" w:customStyle="1" w:styleId="279">
    <w:name w:val="样式 34 10 磅"/>
    <w:next w:val="62"/>
    <w:pPr>
      <w:widowControl w:val="0"/>
      <w:jc w:val="both"/>
    </w:pPr>
    <w:rPr>
      <w:rFonts w:ascii="Calibri" w:eastAsia="宋体" w:cs="Arial" w:hAnsi="Calibri"/>
      <w:kern w:val="2"/>
      <w:sz w:val="21"/>
      <w:szCs w:val="22"/>
      <w:lang w:val="en-US" w:eastAsia="zh-CN" w:bidi="ar-SA"/>
    </w:rPr>
  </w:style>
  <w:style w:type="paragraph" w:customStyle="1" w:styleId="280">
    <w:name w:val="样式 35 10 磅"/>
    <w:next w:val="63"/>
    <w:pPr>
      <w:widowControl w:val="0"/>
      <w:jc w:val="both"/>
    </w:pPr>
    <w:rPr>
      <w:rFonts w:ascii="Calibri" w:eastAsia="宋体" w:cs="Arial" w:hAnsi="Calibri"/>
      <w:kern w:val="2"/>
      <w:sz w:val="21"/>
      <w:szCs w:val="22"/>
      <w:lang w:val="en-US" w:eastAsia="zh-CN" w:bidi="ar-SA"/>
    </w:rPr>
  </w:style>
  <w:style w:type="paragraph" w:customStyle="1" w:styleId="281">
    <w:name w:val="样式 37 10 磅"/>
    <w:next w:val="64"/>
    <w:pPr>
      <w:widowControl w:val="0"/>
      <w:jc w:val="both"/>
    </w:pPr>
    <w:rPr>
      <w:rFonts w:ascii="Calibri" w:eastAsia="宋体" w:cs="Arial" w:hAnsi="Calibri"/>
      <w:kern w:val="2"/>
      <w:sz w:val="21"/>
      <w:szCs w:val="22"/>
      <w:lang w:val="en-US" w:eastAsia="zh-CN" w:bidi="ar-SA"/>
    </w:rPr>
  </w:style>
  <w:style w:type="paragraph" w:customStyle="1" w:styleId="282">
    <w:name w:val="样式 38 10 磅"/>
    <w:next w:val="65"/>
    <w:pPr>
      <w:widowControl w:val="0"/>
      <w:jc w:val="both"/>
    </w:pPr>
    <w:rPr>
      <w:rFonts w:ascii="Calibri" w:eastAsia="宋体" w:cs="Arial" w:hAnsi="Calibri"/>
      <w:kern w:val="2"/>
      <w:sz w:val="21"/>
      <w:szCs w:val="22"/>
      <w:lang w:val="en-US" w:eastAsia="zh-CN" w:bidi="ar-SA"/>
    </w:rPr>
  </w:style>
  <w:style w:type="paragraph" w:customStyle="1" w:styleId="283">
    <w:name w:val="样式 39 10 磅"/>
    <w:next w:val="66"/>
    <w:pPr>
      <w:widowControl w:val="0"/>
      <w:jc w:val="both"/>
    </w:pPr>
    <w:rPr>
      <w:rFonts w:ascii="Calibri" w:eastAsia="宋体" w:cs="Arial" w:hAnsi="Calibri"/>
      <w:kern w:val="2"/>
      <w:sz w:val="21"/>
      <w:szCs w:val="22"/>
      <w:lang w:val="en-US" w:eastAsia="zh-CN" w:bidi="ar-SA"/>
    </w:rPr>
  </w:style>
  <w:style w:type="paragraph" w:customStyle="1" w:styleId="284">
    <w:name w:val="样式 40 10 磅"/>
    <w:next w:val="67"/>
    <w:pPr>
      <w:widowControl w:val="0"/>
      <w:jc w:val="both"/>
    </w:pPr>
    <w:rPr>
      <w:rFonts w:ascii="Calibri" w:eastAsia="宋体" w:cs="Arial" w:hAnsi="Calibri"/>
      <w:kern w:val="2"/>
      <w:sz w:val="21"/>
      <w:szCs w:val="22"/>
      <w:lang w:val="en-US" w:eastAsia="zh-CN" w:bidi="ar-SA"/>
    </w:rPr>
  </w:style>
  <w:style w:type="paragraph" w:customStyle="1" w:styleId="285">
    <w:name w:val="样式 41 10 磅"/>
    <w:next w:val="68"/>
    <w:pPr>
      <w:widowControl w:val="0"/>
      <w:jc w:val="both"/>
    </w:pPr>
    <w:rPr>
      <w:rFonts w:ascii="Calibri" w:eastAsia="宋体" w:cs="Arial" w:hAnsi="Calibri"/>
      <w:kern w:val="2"/>
      <w:sz w:val="21"/>
      <w:szCs w:val="22"/>
      <w:lang w:val="en-US" w:eastAsia="zh-CN" w:bidi="ar-SA"/>
    </w:rPr>
  </w:style>
  <w:style w:type="paragraph" w:customStyle="1" w:styleId="286">
    <w:name w:val="样式 42 10 磅"/>
    <w:next w:val="69"/>
    <w:pPr>
      <w:widowControl w:val="0"/>
      <w:jc w:val="both"/>
    </w:pPr>
    <w:rPr>
      <w:rFonts w:ascii="Calibri" w:eastAsia="宋体" w:cs="Arial" w:hAnsi="Calibri"/>
      <w:kern w:val="2"/>
      <w:sz w:val="21"/>
      <w:szCs w:val="22"/>
      <w:lang w:val="en-US" w:eastAsia="zh-CN" w:bidi="ar-SA"/>
    </w:rPr>
  </w:style>
  <w:style w:type="paragraph" w:customStyle="1" w:styleId="287">
    <w:name w:val="样式 43 10 磅"/>
    <w:next w:val="70"/>
    <w:pPr>
      <w:widowControl w:val="0"/>
      <w:jc w:val="both"/>
    </w:pPr>
    <w:rPr>
      <w:rFonts w:ascii="Calibri" w:eastAsia="宋体" w:cs="Arial" w:hAnsi="Calibri"/>
      <w:kern w:val="2"/>
      <w:sz w:val="21"/>
      <w:szCs w:val="22"/>
      <w:lang w:val="en-US" w:eastAsia="zh-CN" w:bidi="ar-SA"/>
    </w:rPr>
  </w:style>
  <w:style w:type="paragraph" w:customStyle="1" w:styleId="288">
    <w:name w:val="样式 44 10 磅"/>
    <w:next w:val="71"/>
    <w:pPr>
      <w:widowControl w:val="0"/>
      <w:jc w:val="both"/>
    </w:pPr>
    <w:rPr>
      <w:rFonts w:ascii="Calibri" w:eastAsia="宋体" w:cs="Arial" w:hAnsi="Calibri"/>
      <w:kern w:val="2"/>
      <w:sz w:val="21"/>
      <w:szCs w:val="22"/>
      <w:lang w:val="en-US" w:eastAsia="zh-CN" w:bidi="ar-SA"/>
    </w:rPr>
  </w:style>
  <w:style w:type="paragraph" w:customStyle="1" w:styleId="289">
    <w:name w:val="样式 45 10 磅"/>
    <w:next w:val="72"/>
    <w:pPr>
      <w:widowControl w:val="0"/>
      <w:jc w:val="both"/>
    </w:pPr>
    <w:rPr>
      <w:rFonts w:ascii="Calibri" w:eastAsia="宋体" w:cs="Arial" w:hAnsi="Calibri"/>
      <w:kern w:val="2"/>
      <w:sz w:val="21"/>
      <w:szCs w:val="22"/>
      <w:lang w:val="en-US" w:eastAsia="zh-CN" w:bidi="ar-SA"/>
    </w:rPr>
  </w:style>
  <w:style w:type="paragraph" w:customStyle="1" w:styleId="290">
    <w:name w:val="样式 46 10 磅"/>
    <w:next w:val="73"/>
    <w:pPr>
      <w:widowControl w:val="0"/>
      <w:jc w:val="both"/>
    </w:pPr>
    <w:rPr>
      <w:rFonts w:ascii="Calibri" w:eastAsia="宋体" w:cs="Arial" w:hAnsi="Calibri"/>
      <w:kern w:val="2"/>
      <w:sz w:val="21"/>
      <w:szCs w:val="22"/>
      <w:lang w:val="en-US" w:eastAsia="zh-CN" w:bidi="ar-SA"/>
    </w:rPr>
  </w:style>
  <w:style w:type="paragraph" w:customStyle="1" w:styleId="291">
    <w:name w:val="样式 47 10 磅"/>
    <w:next w:val="74"/>
    <w:pPr>
      <w:widowControl w:val="0"/>
      <w:jc w:val="both"/>
    </w:pPr>
    <w:rPr>
      <w:rFonts w:ascii="Calibri" w:eastAsia="宋体" w:cs="Arial" w:hAnsi="Calibri"/>
      <w:kern w:val="2"/>
      <w:sz w:val="21"/>
      <w:szCs w:val="22"/>
      <w:lang w:val="en-US" w:eastAsia="zh-CN" w:bidi="ar-SA"/>
    </w:rPr>
  </w:style>
  <w:style w:type="paragraph" w:customStyle="1" w:styleId="292">
    <w:name w:val="样式 48 10 磅"/>
    <w:next w:val="75"/>
    <w:pPr>
      <w:widowControl w:val="0"/>
      <w:jc w:val="both"/>
    </w:pPr>
    <w:rPr>
      <w:rFonts w:ascii="Calibri" w:eastAsia="宋体" w:cs="Arial" w:hAnsi="Calibri"/>
      <w:kern w:val="2"/>
      <w:sz w:val="21"/>
      <w:szCs w:val="22"/>
      <w:lang w:val="en-US" w:eastAsia="zh-CN" w:bidi="ar-SA"/>
    </w:rPr>
  </w:style>
  <w:style w:type="paragraph" w:customStyle="1" w:styleId="293">
    <w:name w:val="样式 50 10 磅"/>
    <w:next w:val="76"/>
    <w:pPr>
      <w:widowControl w:val="0"/>
      <w:jc w:val="both"/>
    </w:pPr>
    <w:rPr>
      <w:rFonts w:ascii="Calibri" w:eastAsia="宋体" w:cs="Arial" w:hAnsi="Calibri"/>
      <w:kern w:val="2"/>
      <w:sz w:val="21"/>
      <w:szCs w:val="22"/>
      <w:lang w:val="en-US" w:eastAsia="zh-CN" w:bidi="ar-SA"/>
    </w:rPr>
  </w:style>
  <w:style w:type="paragraph" w:customStyle="1" w:styleId="294">
    <w:name w:val="样式 52 10 磅"/>
    <w:next w:val="77"/>
    <w:pPr>
      <w:widowControl w:val="0"/>
      <w:jc w:val="both"/>
    </w:pPr>
    <w:rPr>
      <w:rFonts w:ascii="Calibri" w:eastAsia="宋体" w:cs="Arial" w:hAnsi="Calibri"/>
      <w:kern w:val="2"/>
      <w:sz w:val="21"/>
      <w:szCs w:val="22"/>
      <w:lang w:val="en-US" w:eastAsia="zh-CN" w:bidi="ar-SA"/>
    </w:rPr>
  </w:style>
  <w:style w:type="paragraph" w:customStyle="1" w:styleId="295">
    <w:name w:val="样式 66 10 磅"/>
    <w:next w:val="91"/>
    <w:pPr>
      <w:widowControl w:val="0"/>
      <w:jc w:val="both"/>
    </w:pPr>
    <w:rPr>
      <w:rFonts w:ascii="Calibri" w:eastAsia="宋体" w:cs="Arial" w:hAnsi="Calibri"/>
      <w:kern w:val="2"/>
      <w:sz w:val="21"/>
      <w:szCs w:val="22"/>
      <w:lang w:val="en-US" w:eastAsia="zh-CN" w:bidi="ar-SA"/>
    </w:rPr>
  </w:style>
  <w:style w:type="paragraph" w:customStyle="1" w:styleId="296">
    <w:name w:val="样式 67 10 磅"/>
    <w:next w:val="92"/>
    <w:pPr>
      <w:widowControl w:val="0"/>
      <w:jc w:val="both"/>
    </w:pPr>
    <w:rPr>
      <w:rFonts w:ascii="Calibri" w:eastAsia="宋体" w:cs="Arial" w:hAnsi="Calibri"/>
      <w:kern w:val="2"/>
      <w:sz w:val="21"/>
      <w:szCs w:val="22"/>
      <w:lang w:val="en-US" w:eastAsia="zh-CN" w:bidi="ar-SA"/>
    </w:rPr>
  </w:style>
  <w:style w:type="paragraph" w:customStyle="1" w:styleId="297">
    <w:name w:val="样式 68 10 磅"/>
    <w:next w:val="93"/>
    <w:pPr>
      <w:widowControl w:val="0"/>
      <w:jc w:val="both"/>
    </w:pPr>
    <w:rPr>
      <w:rFonts w:ascii="Calibri" w:eastAsia="宋体" w:cs="Arial" w:hAnsi="Calibri"/>
      <w:kern w:val="2"/>
      <w:sz w:val="21"/>
      <w:szCs w:val="22"/>
      <w:lang w:val="en-US" w:eastAsia="zh-CN" w:bidi="ar-SA"/>
    </w:rPr>
  </w:style>
  <w:style w:type="paragraph" w:customStyle="1" w:styleId="298">
    <w:name w:val="样式 69 10 磅"/>
    <w:next w:val="94"/>
    <w:pPr>
      <w:widowControl w:val="0"/>
      <w:jc w:val="both"/>
    </w:pPr>
    <w:rPr>
      <w:rFonts w:ascii="Calibri" w:eastAsia="宋体" w:cs="Arial" w:hAnsi="Calibri"/>
      <w:kern w:val="2"/>
      <w:sz w:val="21"/>
      <w:szCs w:val="22"/>
      <w:lang w:val="en-US" w:eastAsia="zh-CN" w:bidi="ar-SA"/>
    </w:rPr>
  </w:style>
  <w:style w:type="paragraph" w:customStyle="1" w:styleId="299">
    <w:name w:val="样式 70 10 磅"/>
    <w:next w:val="95"/>
    <w:pPr>
      <w:widowControl w:val="0"/>
      <w:jc w:val="both"/>
    </w:pPr>
    <w:rPr>
      <w:rFonts w:ascii="Calibri" w:eastAsia="宋体" w:cs="Arial" w:hAnsi="Calibri"/>
      <w:kern w:val="2"/>
      <w:sz w:val="21"/>
      <w:szCs w:val="22"/>
      <w:lang w:val="en-US" w:eastAsia="zh-CN" w:bidi="ar-SA"/>
    </w:rPr>
  </w:style>
  <w:style w:type="paragraph" w:customStyle="1" w:styleId="300">
    <w:name w:val="样式 71 10 磅"/>
    <w:next w:val="96"/>
    <w:pPr>
      <w:widowControl w:val="0"/>
      <w:jc w:val="both"/>
    </w:pPr>
    <w:rPr>
      <w:rFonts w:ascii="Calibri" w:eastAsia="宋体" w:cs="Arial" w:hAnsi="Calibri"/>
      <w:kern w:val="2"/>
      <w:sz w:val="21"/>
      <w:szCs w:val="22"/>
      <w:lang w:val="en-US" w:eastAsia="zh-CN" w:bidi="ar-SA"/>
    </w:rPr>
  </w:style>
  <w:style w:type="paragraph" w:customStyle="1" w:styleId="301">
    <w:name w:val="样式 72 10 磅"/>
    <w:next w:val="97"/>
    <w:pPr>
      <w:widowControl w:val="0"/>
      <w:jc w:val="both"/>
    </w:pPr>
    <w:rPr>
      <w:rFonts w:ascii="Calibri" w:eastAsia="宋体" w:cs="Arial" w:hAnsi="Calibri"/>
      <w:kern w:val="2"/>
      <w:sz w:val="21"/>
      <w:szCs w:val="22"/>
      <w:lang w:val="en-US" w:eastAsia="zh-CN" w:bidi="ar-SA"/>
    </w:rPr>
  </w:style>
  <w:style w:type="paragraph" w:customStyle="1" w:styleId="302">
    <w:name w:val="样式 77 10 磅"/>
    <w:next w:val="102"/>
    <w:pPr>
      <w:widowControl w:val="0"/>
      <w:jc w:val="both"/>
    </w:pPr>
    <w:rPr>
      <w:rFonts w:ascii="Calibri" w:eastAsia="宋体" w:cs="Arial" w:hAnsi="Calibri"/>
      <w:kern w:val="2"/>
      <w:sz w:val="21"/>
      <w:szCs w:val="22"/>
      <w:lang w:val="en-US" w:eastAsia="zh-CN" w:bidi="ar-SA"/>
    </w:rPr>
  </w:style>
  <w:style w:type="paragraph" w:customStyle="1" w:styleId="303">
    <w:name w:val="样式 78 10 磅"/>
    <w:next w:val="103"/>
    <w:pPr>
      <w:widowControl w:val="0"/>
      <w:jc w:val="both"/>
    </w:pPr>
    <w:rPr>
      <w:rFonts w:ascii="Calibri" w:eastAsia="宋体" w:cs="Arial" w:hAnsi="Calibri"/>
      <w:kern w:val="2"/>
      <w:sz w:val="21"/>
      <w:szCs w:val="22"/>
      <w:lang w:val="en-US" w:eastAsia="zh-CN" w:bidi="ar-SA"/>
    </w:rPr>
  </w:style>
  <w:style w:type="paragraph" w:customStyle="1" w:styleId="304">
    <w:name w:val="样式 79 10 磅"/>
    <w:next w:val="104"/>
    <w:pPr>
      <w:widowControl w:val="0"/>
      <w:jc w:val="both"/>
    </w:pPr>
    <w:rPr>
      <w:rFonts w:ascii="Calibri" w:eastAsia="宋体" w:cs="Arial" w:hAnsi="Calibri"/>
      <w:kern w:val="2"/>
      <w:sz w:val="21"/>
      <w:szCs w:val="22"/>
      <w:lang w:val="en-US" w:eastAsia="zh-CN" w:bidi="ar-SA"/>
    </w:rPr>
  </w:style>
  <w:style w:type="paragraph" w:customStyle="1" w:styleId="305">
    <w:name w:val="样式 80 10 磅"/>
    <w:next w:val="105"/>
    <w:pPr>
      <w:widowControl w:val="0"/>
      <w:jc w:val="both"/>
    </w:pPr>
    <w:rPr>
      <w:rFonts w:ascii="Calibri" w:eastAsia="宋体" w:cs="Arial" w:hAnsi="Calibri"/>
      <w:kern w:val="2"/>
      <w:sz w:val="21"/>
      <w:szCs w:val="22"/>
      <w:lang w:val="en-US" w:eastAsia="zh-CN" w:bidi="ar-SA"/>
    </w:rPr>
  </w:style>
  <w:style w:type="paragraph" w:customStyle="1" w:styleId="306">
    <w:name w:val="样式 81 10 磅"/>
    <w:next w:val="106"/>
    <w:pPr>
      <w:widowControl w:val="0"/>
      <w:jc w:val="both"/>
    </w:pPr>
    <w:rPr>
      <w:rFonts w:ascii="Calibri" w:eastAsia="宋体" w:cs="Arial" w:hAnsi="Calibri"/>
      <w:kern w:val="2"/>
      <w:sz w:val="21"/>
      <w:szCs w:val="22"/>
      <w:lang w:val="en-US" w:eastAsia="zh-CN" w:bidi="ar-SA"/>
    </w:rPr>
  </w:style>
  <w:style w:type="paragraph" w:customStyle="1" w:styleId="307">
    <w:name w:val="样式 82 10 磅"/>
    <w:next w:val="107"/>
    <w:pPr>
      <w:widowControl w:val="0"/>
      <w:jc w:val="both"/>
    </w:pPr>
    <w:rPr>
      <w:rFonts w:ascii="Calibri" w:eastAsia="宋体" w:cs="Arial" w:hAnsi="Calibri"/>
      <w:kern w:val="2"/>
      <w:sz w:val="21"/>
      <w:szCs w:val="22"/>
      <w:lang w:val="en-US" w:eastAsia="zh-CN" w:bidi="ar-SA"/>
    </w:rPr>
  </w:style>
  <w:style w:type="paragraph" w:customStyle="1" w:styleId="308">
    <w:name w:val="样式 83 10 磅"/>
    <w:next w:val="108"/>
    <w:pPr>
      <w:widowControl w:val="0"/>
      <w:jc w:val="both"/>
    </w:pPr>
    <w:rPr>
      <w:rFonts w:ascii="Calibri" w:eastAsia="宋体" w:cs="Arial" w:hAnsi="Calibri"/>
      <w:kern w:val="2"/>
      <w:sz w:val="21"/>
      <w:szCs w:val="22"/>
      <w:lang w:val="en-US" w:eastAsia="zh-CN" w:bidi="ar-SA"/>
    </w:rPr>
  </w:style>
  <w:style w:type="paragraph" w:customStyle="1" w:styleId="309">
    <w:name w:val="样式 84 10 磅"/>
    <w:next w:val="109"/>
    <w:pPr>
      <w:widowControl w:val="0"/>
      <w:jc w:val="both"/>
    </w:pPr>
    <w:rPr>
      <w:rFonts w:ascii="Calibri" w:eastAsia="宋体" w:cs="Arial" w:hAnsi="Calibri"/>
      <w:kern w:val="2"/>
      <w:sz w:val="21"/>
      <w:szCs w:val="22"/>
      <w:lang w:val="en-US" w:eastAsia="zh-CN" w:bidi="ar-SA"/>
    </w:rPr>
  </w:style>
  <w:style w:type="paragraph" w:customStyle="1" w:styleId="310">
    <w:name w:val="样式 85 10 磅"/>
    <w:next w:val="110"/>
    <w:pPr>
      <w:widowControl w:val="0"/>
      <w:jc w:val="both"/>
    </w:pPr>
    <w:rPr>
      <w:rFonts w:ascii="Calibri" w:eastAsia="宋体" w:cs="Arial" w:hAnsi="Calibri"/>
      <w:kern w:val="2"/>
      <w:sz w:val="21"/>
      <w:szCs w:val="22"/>
      <w:lang w:val="en-US" w:eastAsia="zh-CN" w:bidi="ar-SA"/>
    </w:rPr>
  </w:style>
  <w:style w:type="paragraph" w:customStyle="1" w:styleId="311">
    <w:name w:val="样式 156 10 磅"/>
    <w:next w:val="167"/>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155 10 磅"/>
    <w:next w:val="166"/>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33 10 磅"/>
    <w:next w:val="222"/>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32 10 磅"/>
    <w:next w:val="221"/>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31 10 磅"/>
    <w:next w:val="220"/>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30 10 磅"/>
    <w:next w:val="219"/>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29 10 磅"/>
    <w:next w:val="218"/>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28 10 磅"/>
    <w:next w:val="217"/>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27 10 磅"/>
    <w:next w:val="216"/>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26 10 磅"/>
    <w:next w:val="215"/>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25 10 磅"/>
    <w:next w:val="214"/>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24 10 磅"/>
    <w:next w:val="213"/>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23 10 磅"/>
    <w:next w:val="212"/>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22 10 磅"/>
    <w:next w:val="211"/>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21 10 磅"/>
    <w:next w:val="210"/>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220 10 磅"/>
    <w:next w:val="209"/>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219 10 磅"/>
    <w:next w:val="208"/>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218 10 磅"/>
    <w:next w:val="207"/>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217 10 磅"/>
    <w:next w:val="206"/>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216 10 磅"/>
    <w:next w:val="205"/>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215 10 磅"/>
    <w:next w:val="204"/>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214 10 磅"/>
    <w:next w:val="203"/>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213 10 磅"/>
    <w:next w:val="202"/>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212 10 磅"/>
    <w:next w:val="201"/>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211 10 磅"/>
    <w:next w:val="200"/>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210 10 磅"/>
    <w:next w:val="199"/>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209 10 磅"/>
    <w:next w:val="198"/>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208 10 磅"/>
    <w:next w:val="197"/>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207 10 磅"/>
    <w:next w:val="196"/>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206 10 磅"/>
    <w:next w:val="195"/>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205 10 磅"/>
    <w:next w:val="194"/>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204 10 磅"/>
    <w:next w:val="193"/>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203 10 磅"/>
    <w:next w:val="192"/>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202 10 磅"/>
    <w:next w:val="191"/>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201 10 磅"/>
    <w:next w:val="190"/>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200 10 磅"/>
    <w:next w:val="189"/>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195 10 磅"/>
    <w:next w:val="188"/>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194 10 磅"/>
    <w:next w:val="187"/>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192 10 磅"/>
    <w:next w:val="186"/>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191 10 磅"/>
    <w:next w:val="185"/>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190 10 磅"/>
    <w:next w:val="184"/>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189 10 磅"/>
    <w:next w:val="183"/>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188 10 磅"/>
    <w:next w:val="182"/>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182 10 磅"/>
    <w:next w:val="181"/>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181 10 磅"/>
    <w:next w:val="180"/>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180 10 磅"/>
    <w:next w:val="179"/>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173 10 磅"/>
    <w:next w:val="178"/>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170 10 磅"/>
    <w:next w:val="177"/>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169 10 磅"/>
    <w:next w:val="176"/>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168 10 磅"/>
    <w:next w:val="175"/>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163 10 磅"/>
    <w:next w:val="174"/>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162 10 磅"/>
    <w:next w:val="173"/>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161 10 磅"/>
    <w:next w:val="172"/>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160 10 磅"/>
    <w:next w:val="171"/>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159 10 磅"/>
    <w:next w:val="170"/>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158 10 磅"/>
    <w:next w:val="169"/>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157 10 磅"/>
    <w:next w:val="168"/>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10 磅"/>
    <w:pPr>
      <w:widowControl w:val="0"/>
      <w:jc w:val="both"/>
    </w:pPr>
    <w:rPr>
      <w:rFonts w:ascii="Calibri" w:eastAsia="宋体" w:cs="Arial" w:hAnsi="Calibri"/>
      <w:kern w:val="2"/>
      <w:sz w:val="21"/>
      <w:szCs w:val="22"/>
      <w:lang w:val="en-US" w:eastAsia="zh-CN" w:bidi="ar-SA"/>
    </w:rPr>
  </w:style>
  <w:style w:type="paragraph" w:customStyle="1" w:styleId="369">
    <w:name w:val="样式 3 10 磅"/>
    <w:pPr>
      <w:widowControl w:val="0"/>
      <w:jc w:val="both"/>
    </w:pPr>
    <w:rPr>
      <w:rFonts w:ascii="Calibri" w:eastAsia="宋体" w:cs="Arial" w:hAnsi="Calibri"/>
      <w:kern w:val="2"/>
      <w:sz w:val="21"/>
      <w:szCs w:val="22"/>
      <w:lang w:val="en-US" w:eastAsia="zh-CN" w:bidi="ar-SA"/>
    </w:rPr>
  </w:style>
  <w:style w:type="paragraph" w:customStyle="1" w:styleId="370">
    <w:name w:val="样式 5 10 磅"/>
    <w:pPr>
      <w:widowControl w:val="0"/>
      <w:jc w:val="both"/>
    </w:pPr>
    <w:rPr>
      <w:rFonts w:ascii="Calibri" w:eastAsia="宋体" w:cs="Arial" w:hAnsi="Calibri"/>
      <w:kern w:val="2"/>
      <w:sz w:val="21"/>
      <w:szCs w:val="22"/>
      <w:lang w:val="en-US" w:eastAsia="zh-CN" w:bidi="ar-SA"/>
    </w:rPr>
  </w:style>
  <w:style w:type="paragraph" w:customStyle="1" w:styleId="371">
    <w:name w:val="样式 6 10 磅"/>
    <w:pPr>
      <w:widowControl w:val="0"/>
      <w:jc w:val="both"/>
    </w:pPr>
    <w:rPr>
      <w:rFonts w:ascii="Calibri" w:eastAsia="宋体" w:cs="Arial" w:hAnsi="Calibri"/>
      <w:kern w:val="2"/>
      <w:sz w:val="21"/>
      <w:szCs w:val="22"/>
      <w:lang w:val="en-US" w:eastAsia="zh-CN" w:bidi="ar-SA"/>
    </w:rPr>
  </w:style>
  <w:style w:type="paragraph" w:customStyle="1" w:styleId="372">
    <w:name w:val="样式 7 10 磅"/>
    <w:pPr>
      <w:widowControl w:val="0"/>
      <w:jc w:val="both"/>
    </w:pPr>
    <w:rPr>
      <w:rFonts w:ascii="Calibri" w:eastAsia="宋体" w:cs="Arial" w:hAnsi="Calibri"/>
      <w:kern w:val="2"/>
      <w:sz w:val="21"/>
      <w:szCs w:val="22"/>
      <w:lang w:val="en-US" w:eastAsia="zh-CN" w:bidi="ar-SA"/>
    </w:rPr>
  </w:style>
  <w:style w:type="paragraph" w:customStyle="1" w:styleId="373">
    <w:name w:val="样式 8 10 磅"/>
    <w:pPr>
      <w:widowControl w:val="0"/>
      <w:jc w:val="both"/>
    </w:pPr>
    <w:rPr>
      <w:rFonts w:ascii="Calibri" w:eastAsia="宋体" w:cs="Arial" w:hAnsi="Calibri"/>
      <w:kern w:val="2"/>
      <w:sz w:val="21"/>
      <w:szCs w:val="22"/>
      <w:lang w:val="en-US" w:eastAsia="zh-CN" w:bidi="ar-SA"/>
    </w:rPr>
  </w:style>
  <w:style w:type="paragraph" w:customStyle="1" w:styleId="374">
    <w:name w:val="样式 9 10 磅"/>
    <w:pPr>
      <w:widowControl w:val="0"/>
      <w:jc w:val="both"/>
    </w:pPr>
    <w:rPr>
      <w:rFonts w:ascii="Calibri" w:eastAsia="宋体" w:cs="Arial" w:hAnsi="Calibri"/>
      <w:kern w:val="2"/>
      <w:sz w:val="21"/>
      <w:szCs w:val="22"/>
      <w:lang w:val="en-US" w:eastAsia="zh-CN" w:bidi="ar-SA"/>
    </w:rPr>
  </w:style>
  <w:style w:type="paragraph" w:customStyle="1" w:styleId="375">
    <w:name w:val="样式 10 10 磅"/>
    <w:pPr>
      <w:widowControl w:val="0"/>
      <w:jc w:val="both"/>
    </w:pPr>
    <w:rPr>
      <w:rFonts w:ascii="Calibri" w:eastAsia="宋体" w:cs="Arial" w:hAnsi="Calibri"/>
      <w:kern w:val="2"/>
      <w:sz w:val="21"/>
      <w:szCs w:val="22"/>
      <w:lang w:val="en-US" w:eastAsia="zh-CN" w:bidi="ar-SA"/>
    </w:rPr>
  </w:style>
  <w:style w:type="paragraph" w:customStyle="1" w:styleId="376">
    <w:name w:val="样式 11 10 磅"/>
    <w:pPr>
      <w:widowControl w:val="0"/>
      <w:jc w:val="both"/>
    </w:pPr>
    <w:rPr>
      <w:rFonts w:ascii="Calibri" w:eastAsia="宋体" w:cs="Arial" w:hAnsi="Calibri"/>
      <w:kern w:val="2"/>
      <w:sz w:val="21"/>
      <w:szCs w:val="22"/>
      <w:lang w:val="en-US" w:eastAsia="zh-CN" w:bidi="ar-SA"/>
    </w:rPr>
  </w:style>
  <w:style w:type="paragraph" w:customStyle="1" w:styleId="377">
    <w:name w:val="样式 12 10 磅"/>
    <w:pPr>
      <w:widowControl w:val="0"/>
      <w:jc w:val="both"/>
    </w:pPr>
    <w:rPr>
      <w:rFonts w:ascii="Calibri" w:eastAsia="宋体" w:cs="Arial" w:hAnsi="Calibri"/>
      <w:kern w:val="2"/>
      <w:sz w:val="21"/>
      <w:szCs w:val="22"/>
      <w:lang w:val="en-US" w:eastAsia="zh-CN" w:bidi="ar-SA"/>
    </w:rPr>
  </w:style>
  <w:style w:type="paragraph" w:customStyle="1" w:styleId="378">
    <w:name w:val="样式 13 10 磅"/>
    <w:pPr>
      <w:widowControl w:val="0"/>
      <w:jc w:val="both"/>
    </w:pPr>
    <w:rPr>
      <w:rFonts w:ascii="Calibri" w:eastAsia="宋体" w:cs="Arial" w:hAnsi="Calibri"/>
      <w:kern w:val="2"/>
      <w:sz w:val="21"/>
      <w:szCs w:val="22"/>
      <w:lang w:val="en-US" w:eastAsia="zh-CN" w:bidi="ar-SA"/>
    </w:rPr>
  </w:style>
  <w:style w:type="paragraph" w:customStyle="1" w:styleId="379">
    <w:name w:val="样式 14 10 磅"/>
    <w:pPr>
      <w:widowControl w:val="0"/>
      <w:jc w:val="both"/>
    </w:pPr>
    <w:rPr>
      <w:rFonts w:ascii="Calibri" w:eastAsia="宋体" w:cs="Arial" w:hAnsi="Calibri"/>
      <w:kern w:val="2"/>
      <w:sz w:val="21"/>
      <w:szCs w:val="22"/>
      <w:lang w:val="en-US" w:eastAsia="zh-CN" w:bidi="ar-SA"/>
    </w:rPr>
  </w:style>
  <w:style w:type="paragraph" w:customStyle="1" w:styleId="380">
    <w:name w:val="样式 15 10 磅"/>
    <w:pPr>
      <w:widowControl w:val="0"/>
      <w:jc w:val="both"/>
    </w:pPr>
    <w:rPr>
      <w:rFonts w:ascii="Calibri" w:eastAsia="宋体" w:cs="Arial" w:hAnsi="Calibri"/>
      <w:kern w:val="2"/>
      <w:sz w:val="21"/>
      <w:szCs w:val="22"/>
      <w:lang w:val="en-US" w:eastAsia="zh-CN" w:bidi="ar-SA"/>
    </w:rPr>
  </w:style>
  <w:style w:type="paragraph" w:customStyle="1" w:styleId="381">
    <w:name w:val="样式 16 10 磅"/>
    <w:pPr>
      <w:widowControl w:val="0"/>
      <w:jc w:val="both"/>
    </w:pPr>
    <w:rPr>
      <w:rFonts w:ascii="Calibri" w:eastAsia="宋体" w:cs="Arial" w:hAnsi="Calibri"/>
      <w:kern w:val="2"/>
      <w:sz w:val="21"/>
      <w:szCs w:val="22"/>
      <w:lang w:val="en-US" w:eastAsia="zh-CN" w:bidi="ar-SA"/>
    </w:rPr>
  </w:style>
  <w:style w:type="paragraph" w:customStyle="1" w:styleId="382">
    <w:name w:val="样式 17 10 磅"/>
    <w:pPr>
      <w:widowControl w:val="0"/>
      <w:jc w:val="both"/>
    </w:pPr>
    <w:rPr>
      <w:rFonts w:ascii="Calibri" w:eastAsia="宋体" w:cs="Arial" w:hAnsi="Calibri"/>
      <w:kern w:val="2"/>
      <w:sz w:val="21"/>
      <w:szCs w:val="22"/>
      <w:lang w:val="en-US" w:eastAsia="zh-CN" w:bidi="ar-SA"/>
    </w:rPr>
  </w:style>
  <w:style w:type="paragraph" w:customStyle="1" w:styleId="383">
    <w:name w:val="样式 18 10 磅"/>
    <w:pPr>
      <w:widowControl w:val="0"/>
      <w:jc w:val="both"/>
    </w:pPr>
    <w:rPr>
      <w:rFonts w:ascii="Calibri" w:eastAsia="宋体" w:cs="Arial" w:hAnsi="Calibri"/>
      <w:kern w:val="2"/>
      <w:sz w:val="21"/>
      <w:szCs w:val="22"/>
      <w:lang w:val="en-US" w:eastAsia="zh-CN" w:bidi="ar-SA"/>
    </w:rPr>
  </w:style>
  <w:style w:type="paragraph" w:customStyle="1" w:styleId="384">
    <w:name w:val="样式 19 10 磅"/>
    <w:pPr>
      <w:widowControl w:val="0"/>
      <w:jc w:val="both"/>
    </w:pPr>
    <w:rPr>
      <w:rFonts w:ascii="Calibri" w:eastAsia="宋体" w:cs="Arial" w:hAnsi="Calibri"/>
      <w:kern w:val="2"/>
      <w:sz w:val="21"/>
      <w:szCs w:val="22"/>
      <w:lang w:val="en-US" w:eastAsia="zh-CN" w:bidi="ar-SA"/>
    </w:rPr>
  </w:style>
  <w:style w:type="paragraph" w:customStyle="1" w:styleId="385">
    <w:name w:val="样式 20 10 磅"/>
    <w:pPr>
      <w:widowControl w:val="0"/>
      <w:jc w:val="both"/>
    </w:pPr>
    <w:rPr>
      <w:rFonts w:ascii="Calibri" w:eastAsia="宋体" w:cs="Arial" w:hAnsi="Calibri"/>
      <w:kern w:val="2"/>
      <w:sz w:val="21"/>
      <w:szCs w:val="22"/>
      <w:lang w:val="en-US" w:eastAsia="zh-CN" w:bidi="ar-SA"/>
    </w:rPr>
  </w:style>
  <w:style w:type="paragraph" w:customStyle="1" w:styleId="386">
    <w:name w:val="样式 21 10 磅"/>
    <w:pPr>
      <w:widowControl w:val="0"/>
      <w:jc w:val="both"/>
    </w:pPr>
    <w:rPr>
      <w:rFonts w:ascii="Calibri" w:eastAsia="宋体" w:cs="Arial" w:hAnsi="Calibri"/>
      <w:kern w:val="2"/>
      <w:sz w:val="21"/>
      <w:szCs w:val="22"/>
      <w:lang w:val="en-US" w:eastAsia="zh-CN" w:bidi="ar-SA"/>
    </w:rPr>
  </w:style>
  <w:style w:type="paragraph" w:customStyle="1" w:styleId="387">
    <w:name w:val="样式 22 10 磅"/>
    <w:pPr>
      <w:widowControl w:val="0"/>
      <w:jc w:val="both"/>
    </w:pPr>
    <w:rPr>
      <w:rFonts w:ascii="Calibri" w:eastAsia="宋体" w:cs="Arial" w:hAnsi="Calibri"/>
      <w:kern w:val="2"/>
      <w:sz w:val="21"/>
      <w:szCs w:val="22"/>
      <w:lang w:val="en-US" w:eastAsia="zh-CN" w:bidi="ar-SA"/>
    </w:rPr>
  </w:style>
  <w:style w:type="paragraph" w:customStyle="1" w:styleId="388">
    <w:name w:val="样式 23 10 磅"/>
    <w:pPr>
      <w:widowControl w:val="0"/>
      <w:jc w:val="both"/>
    </w:pPr>
    <w:rPr>
      <w:rFonts w:ascii="Calibri" w:eastAsia="宋体" w:cs="Arial" w:hAnsi="Calibri"/>
      <w:kern w:val="2"/>
      <w:sz w:val="21"/>
      <w:szCs w:val="22"/>
      <w:lang w:val="en-US" w:eastAsia="zh-CN" w:bidi="ar-SA"/>
    </w:rPr>
  </w:style>
  <w:style w:type="paragraph" w:customStyle="1" w:styleId="389">
    <w:name w:val="样式 24 10 磅"/>
    <w:pPr>
      <w:widowControl w:val="0"/>
      <w:jc w:val="both"/>
    </w:pPr>
    <w:rPr>
      <w:rFonts w:ascii="Calibri" w:eastAsia="宋体" w:cs="Arial" w:hAnsi="Calibri"/>
      <w:kern w:val="2"/>
      <w:sz w:val="21"/>
      <w:szCs w:val="22"/>
      <w:lang w:val="en-US" w:eastAsia="zh-CN" w:bidi="ar-SA"/>
    </w:rPr>
  </w:style>
  <w:style w:type="paragraph" w:customStyle="1" w:styleId="390">
    <w:name w:val="样式 25 10 磅"/>
    <w:pPr>
      <w:widowControl w:val="0"/>
      <w:jc w:val="both"/>
    </w:pPr>
    <w:rPr>
      <w:rFonts w:ascii="Calibri" w:eastAsia="宋体" w:cs="Arial" w:hAnsi="Calibri"/>
      <w:kern w:val="2"/>
      <w:sz w:val="21"/>
      <w:szCs w:val="22"/>
      <w:lang w:val="en-US" w:eastAsia="zh-CN" w:bidi="ar-SA"/>
    </w:rPr>
  </w:style>
  <w:style w:type="paragraph" w:customStyle="1" w:styleId="391">
    <w:name w:val="样式 196 10 磅"/>
    <w:pPr>
      <w:widowControl w:val="0"/>
      <w:jc w:val="both"/>
    </w:pPr>
    <w:rPr>
      <w:rFonts w:ascii="Calibri" w:eastAsia="宋体" w:cs="Arial" w:hAnsi="Calibri"/>
      <w:kern w:val="2"/>
      <w:sz w:val="21"/>
      <w:szCs w:val="22"/>
      <w:lang w:val="en-US" w:eastAsia="zh-CN" w:bidi="ar-SA"/>
    </w:rPr>
  </w:style>
  <w:style w:type="paragraph" w:customStyle="1" w:styleId="392">
    <w:name w:val="样式 197 10 磅"/>
    <w:pPr>
      <w:widowControl w:val="0"/>
      <w:jc w:val="both"/>
    </w:pPr>
    <w:rPr>
      <w:rFonts w:ascii="Calibri" w:eastAsia="宋体" w:cs="Arial" w:hAnsi="Calibri"/>
      <w:kern w:val="2"/>
      <w:sz w:val="21"/>
      <w:szCs w:val="22"/>
      <w:lang w:val="en-US" w:eastAsia="zh-CN" w:bidi="ar-SA"/>
    </w:rPr>
  </w:style>
  <w:style w:type="paragraph" w:customStyle="1" w:styleId="393">
    <w:name w:val="样式 198 10 磅"/>
    <w:pPr>
      <w:widowControl w:val="0"/>
      <w:jc w:val="both"/>
    </w:pPr>
    <w:rPr>
      <w:rFonts w:ascii="Calibri" w:eastAsia="宋体" w:cs="Arial" w:hAnsi="Calibri"/>
      <w:kern w:val="2"/>
      <w:sz w:val="21"/>
      <w:szCs w:val="22"/>
      <w:lang w:val="en-US" w:eastAsia="zh-CN" w:bidi="ar-SA"/>
    </w:rPr>
  </w:style>
  <w:style w:type="paragraph" w:customStyle="1" w:styleId="394">
    <w:name w:val="样式 199 10 磅"/>
    <w:pPr>
      <w:widowControl w:val="0"/>
      <w:jc w:val="both"/>
    </w:pPr>
    <w:rPr>
      <w:rFonts w:ascii="Calibri" w:eastAsia="宋体" w:cs="Arial" w:hAnsi="Calibri"/>
      <w:kern w:val="2"/>
      <w:sz w:val="21"/>
      <w:szCs w:val="22"/>
      <w:lang w:val="en-US" w:eastAsia="zh-CN" w:bidi="ar-SA"/>
    </w:rPr>
  </w:style>
  <w:style w:type="paragraph" w:customStyle="1" w:styleId="395">
    <w:name w:val="样式 234 10 磅"/>
    <w:pPr>
      <w:widowControl w:val="0"/>
      <w:jc w:val="both"/>
    </w:pPr>
    <w:rPr>
      <w:rFonts w:ascii="Calibri" w:eastAsia="宋体" w:cs="Arial" w:hAnsi="Calibri"/>
      <w:kern w:val="2"/>
      <w:sz w:val="21"/>
      <w:szCs w:val="22"/>
      <w:lang w:val="en-US" w:eastAsia="zh-CN" w:bidi="ar-SA"/>
    </w:rPr>
  </w:style>
  <w:style w:type="paragraph" w:customStyle="1" w:styleId="396">
    <w:name w:val="样式 235 10 磅"/>
    <w:pPr>
      <w:widowControl w:val="0"/>
      <w:jc w:val="both"/>
    </w:pPr>
    <w:rPr>
      <w:rFonts w:ascii="Calibri" w:eastAsia="宋体" w:cs="Arial" w:hAnsi="Calibri"/>
      <w:kern w:val="2"/>
      <w:sz w:val="21"/>
      <w:szCs w:val="22"/>
      <w:lang w:val="en-US" w:eastAsia="zh-CN" w:bidi="ar-SA"/>
    </w:rPr>
  </w:style>
  <w:style w:type="paragraph" w:customStyle="1" w:styleId="397">
    <w:name w:val="样式 236 10 磅"/>
    <w:pPr>
      <w:widowControl w:val="0"/>
      <w:jc w:val="both"/>
    </w:pPr>
    <w:rPr>
      <w:rFonts w:ascii="Calibri" w:eastAsia="宋体" w:cs="Arial" w:hAnsi="Calibri"/>
      <w:kern w:val="2"/>
      <w:sz w:val="21"/>
      <w:szCs w:val="22"/>
      <w:lang w:val="en-US" w:eastAsia="zh-CN" w:bidi="ar-SA"/>
    </w:rPr>
  </w:style>
  <w:style w:type="paragraph" w:customStyle="1" w:styleId="398">
    <w:name w:val="样式 237 10 磅"/>
    <w:pPr>
      <w:widowControl w:val="0"/>
      <w:jc w:val="both"/>
    </w:pPr>
    <w:rPr>
      <w:rFonts w:ascii="Calibri" w:eastAsia="宋体" w:cs="Arial" w:hAnsi="Calibri"/>
      <w:kern w:val="2"/>
      <w:sz w:val="21"/>
      <w:szCs w:val="22"/>
      <w:lang w:val="en-US" w:eastAsia="zh-CN" w:bidi="ar-SA"/>
    </w:rPr>
  </w:style>
  <w:style w:type="paragraph" w:customStyle="1" w:styleId="399">
    <w:name w:val="样式 238 10 磅"/>
    <w:pPr>
      <w:widowControl w:val="0"/>
      <w:jc w:val="both"/>
    </w:pPr>
    <w:rPr>
      <w:rFonts w:ascii="Calibri" w:eastAsia="宋体" w:cs="Arial" w:hAnsi="Calibri"/>
      <w:kern w:val="2"/>
      <w:sz w:val="21"/>
      <w:szCs w:val="22"/>
      <w:lang w:val="en-US" w:eastAsia="zh-CN" w:bidi="ar-SA"/>
    </w:rPr>
  </w:style>
  <w:style w:type="paragraph" w:customStyle="1" w:styleId="400">
    <w:name w:val="样式 239 10 磅"/>
    <w:pPr>
      <w:widowControl w:val="0"/>
      <w:jc w:val="both"/>
    </w:pPr>
    <w:rPr>
      <w:rFonts w:ascii="Calibri" w:eastAsia="宋体" w:cs="Arial" w:hAnsi="Calibri"/>
      <w:kern w:val="2"/>
      <w:sz w:val="21"/>
      <w:szCs w:val="22"/>
      <w:lang w:val="en-US" w:eastAsia="zh-CN" w:bidi="ar-SA"/>
    </w:rPr>
  </w:style>
  <w:style w:type="paragraph" w:customStyle="1" w:styleId="401">
    <w:name w:val="样式 240 10 磅"/>
    <w:pPr>
      <w:widowControl w:val="0"/>
      <w:jc w:val="both"/>
    </w:pPr>
    <w:rPr>
      <w:rFonts w:ascii="Calibri" w:eastAsia="宋体" w:cs="Arial" w:hAnsi="Calibri"/>
      <w:kern w:val="2"/>
      <w:sz w:val="21"/>
      <w:szCs w:val="22"/>
      <w:lang w:val="en-US" w:eastAsia="zh-CN" w:bidi="ar-SA"/>
    </w:rPr>
  </w:style>
  <w:style w:type="paragraph" w:customStyle="1" w:styleId="402">
    <w:name w:val="样式 241 10 磅"/>
    <w:pPr>
      <w:widowControl w:val="0"/>
      <w:jc w:val="both"/>
    </w:pPr>
    <w:rPr>
      <w:rFonts w:ascii="Calibri" w:eastAsia="宋体" w:cs="Arial" w:hAnsi="Calibri"/>
      <w:kern w:val="2"/>
      <w:sz w:val="21"/>
      <w:szCs w:val="22"/>
      <w:lang w:val="en-US" w:eastAsia="zh-CN" w:bidi="ar-SA"/>
    </w:rPr>
  </w:style>
  <w:style w:type="paragraph" w:customStyle="1" w:styleId="403">
    <w:name w:val="样式 242 10 磅"/>
    <w:pPr>
      <w:widowControl w:val="0"/>
      <w:jc w:val="both"/>
    </w:pPr>
    <w:rPr>
      <w:rFonts w:ascii="Calibri" w:eastAsia="宋体" w:cs="Arial" w:hAnsi="Calibri"/>
      <w:kern w:val="2"/>
      <w:sz w:val="21"/>
      <w:szCs w:val="22"/>
      <w:lang w:val="en-US" w:eastAsia="zh-CN" w:bidi="ar-SA"/>
    </w:rPr>
  </w:style>
  <w:style w:type="paragraph" w:customStyle="1" w:styleId="404">
    <w:name w:val="样式 243 10 磅"/>
    <w:pPr>
      <w:widowControl w:val="0"/>
      <w:jc w:val="both"/>
    </w:pPr>
    <w:rPr>
      <w:rFonts w:ascii="Calibri" w:eastAsia="宋体" w:cs="Arial" w:hAnsi="Calibri"/>
      <w:kern w:val="2"/>
      <w:sz w:val="21"/>
      <w:szCs w:val="22"/>
      <w:lang w:val="en-US" w:eastAsia="zh-CN" w:bidi="ar-SA"/>
    </w:rPr>
  </w:style>
  <w:style w:type="paragraph" w:customStyle="1" w:styleId="405">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2">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251 10 磅"/>
    <w:pPr>
      <w:widowControl w:val="0"/>
      <w:jc w:val="both"/>
    </w:pPr>
    <w:rPr>
      <w:rFonts w:ascii="Calibri" w:eastAsia="宋体" w:cs="Arial" w:hAnsi="Calibri"/>
      <w:kern w:val="2"/>
      <w:sz w:val="21"/>
      <w:szCs w:val="22"/>
      <w:lang w:val="en-US" w:eastAsia="zh-CN" w:bidi="ar-SA"/>
    </w:rPr>
  </w:style>
  <w:style w:type="paragraph" w:customStyle="1" w:styleId="414">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253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png"/><Relationship Id="rId5" Type="http://schemas.openxmlformats.org/officeDocument/2006/relationships/image" Target="media/11.bmp"/><Relationship Id="rId6" Type="http://schemas.openxmlformats.org/officeDocument/2006/relationships/image" Target="media/14.png"/><Relationship Id="rId7" Type="http://schemas.openxmlformats.org/officeDocument/2006/relationships/image" Target="media/17.png"/><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8008</TotalTime>
  <Application>Yozo_Office</Application>
  <Pages>90</Pages>
  <Words>30297</Words>
  <Characters>36315</Characters>
  <Lines>5735</Lines>
  <Paragraphs>4704</Paragraphs>
  <CharactersWithSpaces>38934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徐熙</cp:lastModifiedBy>
  <cp:revision>45</cp:revision>
  <cp:lastPrinted>2024-04-24T02:17:03Z</cp:lastPrinted>
  <dcterms:created xsi:type="dcterms:W3CDTF">2023-03-22T01:35:00Z</dcterms:created>
  <dcterms:modified xsi:type="dcterms:W3CDTF">2025-04-27T08:26:16Z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